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893F76" w14:textId="77777777" w:rsidR="00623C2F" w:rsidRDefault="00623C2F">
      <w:pPr>
        <w:pStyle w:val="CommentText"/>
        <w:rPr>
          <w:noProof/>
          <w:szCs w:val="24"/>
          <w:lang w:val="en-US"/>
        </w:rPr>
      </w:pPr>
    </w:p>
    <w:p w14:paraId="3554620B" w14:textId="77777777" w:rsidR="001B5C57" w:rsidRDefault="001B5C57">
      <w:pPr>
        <w:pStyle w:val="CommentText"/>
        <w:rPr>
          <w:noProof/>
          <w:szCs w:val="24"/>
          <w:lang w:val="en-US"/>
        </w:rPr>
      </w:pPr>
    </w:p>
    <w:p w14:paraId="0142011D" w14:textId="77777777" w:rsidR="00623C2F" w:rsidRDefault="00623C2F">
      <w:pPr>
        <w:pStyle w:val="CommentText"/>
        <w:rPr>
          <w:noProof/>
          <w:szCs w:val="24"/>
          <w:lang w:val="en-US"/>
        </w:rPr>
      </w:pPr>
    </w:p>
    <w:p w14:paraId="5C316317" w14:textId="77777777" w:rsidR="00623C2F" w:rsidRDefault="00623C2F">
      <w:pPr>
        <w:pStyle w:val="CommentText"/>
        <w:rPr>
          <w:noProof/>
          <w:szCs w:val="24"/>
          <w:lang w:val="en-US"/>
        </w:rPr>
      </w:pPr>
    </w:p>
    <w:p w14:paraId="6DB353FA" w14:textId="77777777" w:rsidR="00663BCC" w:rsidRDefault="00663BCC">
      <w:pPr>
        <w:pStyle w:val="CommentText"/>
        <w:rPr>
          <w:noProof/>
          <w:szCs w:val="24"/>
          <w:lang w:val="en-US"/>
        </w:rPr>
      </w:pPr>
    </w:p>
    <w:p w14:paraId="13A99555" w14:textId="77777777" w:rsidR="00623C2F" w:rsidRDefault="00623C2F">
      <w:pPr>
        <w:pStyle w:val="CommentText"/>
        <w:rPr>
          <w:noProof/>
          <w:szCs w:val="24"/>
          <w:lang w:val="en-US"/>
        </w:rPr>
      </w:pPr>
    </w:p>
    <w:p w14:paraId="6BD2ACED" w14:textId="77777777" w:rsidR="00623C2F" w:rsidRDefault="00623C2F">
      <w:pPr>
        <w:pStyle w:val="CommentText"/>
        <w:rPr>
          <w:noProof/>
          <w:szCs w:val="24"/>
          <w:lang w:val="en-US"/>
        </w:rPr>
      </w:pPr>
    </w:p>
    <w:p w14:paraId="0C40F224" w14:textId="77777777" w:rsidR="00F4367A" w:rsidRDefault="00FD34CA" w:rsidP="00663BCC">
      <w:pPr>
        <w:pStyle w:val="CommentText"/>
      </w:pPr>
      <w:r>
        <w:rPr>
          <w:noProof/>
          <w:szCs w:val="24"/>
          <w:lang w:eastAsia="en-GB"/>
        </w:rPr>
        <mc:AlternateContent>
          <mc:Choice Requires="wps">
            <w:drawing>
              <wp:anchor distT="0" distB="0" distL="114300" distR="114300" simplePos="0" relativeHeight="251657728" behindDoc="0" locked="0" layoutInCell="1" allowOverlap="1" wp14:anchorId="53C38CB1" wp14:editId="0FF93998">
                <wp:simplePos x="0" y="0"/>
                <wp:positionH relativeFrom="column">
                  <wp:posOffset>5029200</wp:posOffset>
                </wp:positionH>
                <wp:positionV relativeFrom="paragraph">
                  <wp:posOffset>-683895</wp:posOffset>
                </wp:positionV>
                <wp:extent cx="1143000" cy="1485900"/>
                <wp:effectExtent l="0" t="1905" r="0"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C7113C" w14:textId="77777777" w:rsidR="00EA2FDD" w:rsidRDefault="00EA2FDD">
                            <w:r>
                              <w:rPr>
                                <w:noProof/>
                                <w:lang w:eastAsia="en-GB"/>
                              </w:rPr>
                              <w:drawing>
                                <wp:inline distT="0" distB="0" distL="0" distR="0" wp14:anchorId="009B8381" wp14:editId="69109359">
                                  <wp:extent cx="935355" cy="1254760"/>
                                  <wp:effectExtent l="0" t="0" r="0" b="254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5355" cy="12547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3C38CB1" id="_x0000_t202" coordsize="21600,21600" o:spt="202" path="m,l,21600r21600,l21600,xe">
                <v:stroke joinstyle="miter"/>
                <v:path gradientshapeok="t" o:connecttype="rect"/>
              </v:shapetype>
              <v:shape id="Text Box 13" o:spid="_x0000_s1026" type="#_x0000_t202" style="position:absolute;margin-left:396pt;margin-top:-53.85pt;width:90pt;height:1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9JjhAIAABEFAAAOAAAAZHJzL2Uyb0RvYy54bWysVO1u2yAU/T9p74D4n/qjThtbcaqmXaZJ&#10;3YfU7gEI4BjNBgYkdjft3XeBJE02TZqm5QcB38u5H+dc5jdj36EdN1YoWePsIsWIS6qYkJsaf35a&#10;TWYYWUckI52SvMbP3OKbxetX80FXPFet6hg3CECkrQZd49Y5XSWJpS3vib1QmkswNsr0xMHRbBJm&#10;yADofZfkaXqVDMowbRTl1sLX+2jEi4DfNJy6j01juUNdjSE3F1YT1rVfk8WcVBtDdCvoPg3yD1n0&#10;REgIeoS6J46grRG/QfWCGmVV4y6o6hPVNILyUANUk6W/VPPYEs1DLdAcq49tsv8Pln7YfTJIsBrn&#10;GEnSA0VPfHRoqUaUXfr2DNpW4PWowc+N8B1oDqVa/aDoF4ukumuJ3PBbY9TQcsIgvczfTE6uRhzr&#10;QdbDe8UgDtk6FYDGxvS+d9ANBOhA0/ORGp8L9SGz4jJNwUTBlhWzaQkHH4NUh+vaWPeWqx75TY0N&#10;cB/gye7Buuh6cPHRrOoEW4muCwezWd91Bu0I6GQVfnv0M7dOemep/LWIGL9AlhDD23y+gffvZZYX&#10;6TIvJ6ur2fWkWBXTSXmdziZpVi7Lq7Qoi/vVD59gVlStYIzLByH5QYNZ8Xcc76chqieoEA01Lqf5&#10;NHL0xyKhmb6fsYqzInvhYCQ70dd4dnQilWf2jWRwgVSOiC7uk/P0AyHQg8N/6ErQgac+isCN6xFQ&#10;vDjWij2DIowCvoBbeEdg0yrzDaMBZrLG9uuWGI5R906CqsqsKPwQh0Mxvc7hYE4t61MLkRSgauww&#10;its7Fwd/q43YtBAp6liqW1BiI4JGXrLa6xfmLhSzfyP8YJ+eg9fLS7b4CQAA//8DAFBLAwQUAAYA&#10;CAAAACEAPJCwU98AAAAMAQAADwAAAGRycy9kb3ducmV2LnhtbEyPwU6DQBCG7ya+w2aaeDHtUlRW&#10;kKVRE02vrX2ABaZAys4Sdlvo2zs96XFmvvzz/flmtr244Og7RxrWqwgEUuXqjhoNh5+v5SsIHwzV&#10;pneEGq7oYVPc3+Umq91EO7zsQyM4hHxmNLQhDJmUvmrRGr9yAxLfjm60JvA4NrIezcThtpdxFCXS&#10;mo74Q2sG/GyxOu3PVsNxOz2+pFP5HQ5q95x8mE6V7qr1w2J+fwMRcA5/MNz0WR0KdirdmWoveg0q&#10;jblL0LBcR0qBYCRVt1XJbJw8gSxy+b9E8QsAAP//AwBQSwECLQAUAAYACAAAACEAtoM4kv4AAADh&#10;AQAAEwAAAAAAAAAAAAAAAAAAAAAAW0NvbnRlbnRfVHlwZXNdLnhtbFBLAQItABQABgAIAAAAIQA4&#10;/SH/1gAAAJQBAAALAAAAAAAAAAAAAAAAAC8BAABfcmVscy8ucmVsc1BLAQItABQABgAIAAAAIQB6&#10;w9JjhAIAABEFAAAOAAAAAAAAAAAAAAAAAC4CAABkcnMvZTJvRG9jLnhtbFBLAQItABQABgAIAAAA&#10;IQA8kLBT3wAAAAwBAAAPAAAAAAAAAAAAAAAAAN4EAABkcnMvZG93bnJldi54bWxQSwUGAAAAAAQA&#10;BADzAAAA6gUAAAAA&#10;" stroked="f">
                <v:textbox>
                  <w:txbxContent>
                    <w:p w14:paraId="79C7113C" w14:textId="77777777" w:rsidR="00EA2FDD" w:rsidRDefault="00EA2FDD">
                      <w:r>
                        <w:rPr>
                          <w:noProof/>
                          <w:lang w:eastAsia="en-GB"/>
                        </w:rPr>
                        <w:drawing>
                          <wp:inline distT="0" distB="0" distL="0" distR="0" wp14:anchorId="009B8381" wp14:editId="69109359">
                            <wp:extent cx="935355" cy="1254760"/>
                            <wp:effectExtent l="0" t="0" r="0" b="254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5355" cy="1254760"/>
                                    </a:xfrm>
                                    <a:prstGeom prst="rect">
                                      <a:avLst/>
                                    </a:prstGeom>
                                    <a:noFill/>
                                    <a:ln>
                                      <a:noFill/>
                                    </a:ln>
                                  </pic:spPr>
                                </pic:pic>
                              </a:graphicData>
                            </a:graphic>
                          </wp:inline>
                        </w:drawing>
                      </w:r>
                    </w:p>
                  </w:txbxContent>
                </v:textbox>
              </v:shape>
            </w:pict>
          </mc:Fallback>
        </mc:AlternateContent>
      </w:r>
    </w:p>
    <w:p w14:paraId="3296143D" w14:textId="77777777" w:rsidR="00F4367A" w:rsidRDefault="00F4367A">
      <w:pPr>
        <w:tabs>
          <w:tab w:val="left" w:pos="2160"/>
        </w:tabs>
        <w:rPr>
          <w:b/>
          <w:bCs/>
          <w:sz w:val="32"/>
          <w:u w:val="single"/>
        </w:rPr>
      </w:pPr>
      <w:r>
        <w:rPr>
          <w:b/>
          <w:bCs/>
          <w:sz w:val="32"/>
          <w:u w:val="single"/>
        </w:rPr>
        <w:t xml:space="preserve">                                                                             </w:t>
      </w:r>
    </w:p>
    <w:p w14:paraId="429334BD" w14:textId="77777777" w:rsidR="00F4367A" w:rsidRDefault="00F4367A">
      <w:pPr>
        <w:tabs>
          <w:tab w:val="left" w:pos="2160"/>
        </w:tabs>
        <w:rPr>
          <w:rFonts w:cs="Arial"/>
          <w:b/>
          <w:bCs/>
        </w:rPr>
      </w:pPr>
      <w:r>
        <w:rPr>
          <w:rFonts w:cs="Arial"/>
          <w:b/>
          <w:bCs/>
        </w:rPr>
        <w:t>To:</w:t>
      </w:r>
      <w:r w:rsidR="00EA2FDD">
        <w:rPr>
          <w:rFonts w:cs="Arial"/>
          <w:b/>
          <w:bCs/>
        </w:rPr>
        <w:tab/>
      </w:r>
      <w:r w:rsidR="00DA1441">
        <w:rPr>
          <w:rFonts w:cs="Arial"/>
          <w:b/>
          <w:bCs/>
        </w:rPr>
        <w:t>Audit &amp; Governance Committee</w:t>
      </w:r>
      <w:r>
        <w:rPr>
          <w:rFonts w:cs="Arial"/>
          <w:b/>
          <w:bCs/>
        </w:rPr>
        <w:tab/>
      </w:r>
    </w:p>
    <w:p w14:paraId="245B0291" w14:textId="77777777" w:rsidR="00F4367A" w:rsidRDefault="00F4367A">
      <w:pPr>
        <w:rPr>
          <w:rFonts w:cs="Arial"/>
          <w:b/>
          <w:bCs/>
        </w:rPr>
      </w:pPr>
    </w:p>
    <w:p w14:paraId="527E283A" w14:textId="77777777" w:rsidR="00F4367A" w:rsidRDefault="00F4367A">
      <w:pPr>
        <w:tabs>
          <w:tab w:val="left" w:pos="2160"/>
          <w:tab w:val="left" w:pos="6300"/>
          <w:tab w:val="left" w:pos="7380"/>
        </w:tabs>
        <w:rPr>
          <w:rFonts w:cs="Arial"/>
          <w:b/>
          <w:bCs/>
        </w:rPr>
      </w:pPr>
      <w:r>
        <w:rPr>
          <w:rFonts w:cs="Arial"/>
          <w:b/>
          <w:bCs/>
        </w:rPr>
        <w:t>Date:</w:t>
      </w:r>
      <w:r w:rsidR="00EA2FDD">
        <w:rPr>
          <w:rFonts w:cs="Arial"/>
          <w:b/>
          <w:bCs/>
        </w:rPr>
        <w:tab/>
      </w:r>
      <w:r w:rsidR="001C2177">
        <w:rPr>
          <w:rFonts w:cs="Arial"/>
          <w:b/>
          <w:bCs/>
        </w:rPr>
        <w:t>2</w:t>
      </w:r>
      <w:r w:rsidR="002B0F78">
        <w:rPr>
          <w:rFonts w:cs="Arial"/>
          <w:b/>
          <w:bCs/>
        </w:rPr>
        <w:t>9 July 2021</w:t>
      </w:r>
      <w:r>
        <w:rPr>
          <w:rFonts w:cs="Arial"/>
          <w:b/>
          <w:bCs/>
        </w:rPr>
        <w:tab/>
        <w:t xml:space="preserve">       </w:t>
      </w:r>
      <w:r>
        <w:rPr>
          <w:rFonts w:cs="Arial"/>
          <w:b/>
          <w:bCs/>
        </w:rPr>
        <w:tab/>
        <w:t xml:space="preserve">   </w:t>
      </w:r>
      <w:r>
        <w:rPr>
          <w:rFonts w:cs="Arial"/>
          <w:b/>
          <w:bCs/>
        </w:rPr>
        <w:tab/>
      </w:r>
    </w:p>
    <w:p w14:paraId="4CDA11B6" w14:textId="77777777" w:rsidR="00F4367A" w:rsidRDefault="00F4367A">
      <w:pPr>
        <w:jc w:val="right"/>
        <w:rPr>
          <w:rFonts w:cs="Arial"/>
          <w:b/>
          <w:bCs/>
        </w:rPr>
      </w:pPr>
    </w:p>
    <w:p w14:paraId="64E64862" w14:textId="77777777" w:rsidR="00F4367A" w:rsidRDefault="00F4367A">
      <w:pPr>
        <w:rPr>
          <w:rFonts w:cs="Arial"/>
          <w:b/>
          <w:bCs/>
        </w:rPr>
      </w:pPr>
      <w:r>
        <w:rPr>
          <w:rFonts w:cs="Arial"/>
          <w:b/>
          <w:bCs/>
        </w:rPr>
        <w:t>Report of:</w:t>
      </w:r>
      <w:r w:rsidR="00EA2FDD">
        <w:rPr>
          <w:rFonts w:cs="Arial"/>
          <w:b/>
          <w:bCs/>
        </w:rPr>
        <w:tab/>
      </w:r>
      <w:r w:rsidR="00EA2FDD">
        <w:rPr>
          <w:rFonts w:cs="Arial"/>
          <w:b/>
          <w:bCs/>
        </w:rPr>
        <w:tab/>
        <w:t xml:space="preserve">Head of </w:t>
      </w:r>
      <w:r w:rsidR="00832739">
        <w:rPr>
          <w:rFonts w:cs="Arial"/>
          <w:b/>
          <w:bCs/>
        </w:rPr>
        <w:t xml:space="preserve">Financial Services </w:t>
      </w:r>
      <w:r>
        <w:rPr>
          <w:rFonts w:cs="Arial"/>
          <w:b/>
          <w:bCs/>
        </w:rPr>
        <w:tab/>
      </w:r>
    </w:p>
    <w:p w14:paraId="7173CC90" w14:textId="77777777" w:rsidR="00F4367A" w:rsidRDefault="00F4367A">
      <w:pPr>
        <w:tabs>
          <w:tab w:val="left" w:pos="2160"/>
        </w:tabs>
        <w:rPr>
          <w:rFonts w:cs="Arial"/>
          <w:b/>
          <w:bCs/>
        </w:rPr>
      </w:pPr>
    </w:p>
    <w:p w14:paraId="027B9EE9" w14:textId="77777777" w:rsidR="00F4367A" w:rsidRDefault="00F4367A" w:rsidP="004C5B6A">
      <w:pPr>
        <w:tabs>
          <w:tab w:val="left" w:pos="2160"/>
        </w:tabs>
        <w:ind w:left="2160" w:hanging="2160"/>
        <w:rPr>
          <w:rFonts w:cs="Arial"/>
          <w:b/>
          <w:bCs/>
        </w:rPr>
      </w:pPr>
      <w:r>
        <w:rPr>
          <w:rFonts w:cs="Arial"/>
          <w:b/>
          <w:bCs/>
        </w:rPr>
        <w:t>Title of Report:</w:t>
      </w:r>
      <w:r>
        <w:rPr>
          <w:rFonts w:cs="Arial"/>
          <w:b/>
          <w:bCs/>
        </w:rPr>
        <w:tab/>
      </w:r>
      <w:r w:rsidR="00476314" w:rsidRPr="00476314">
        <w:rPr>
          <w:rFonts w:cs="Arial"/>
          <w:b/>
          <w:bCs/>
        </w:rPr>
        <w:t>Investigation</w:t>
      </w:r>
      <w:r w:rsidR="001C2177">
        <w:rPr>
          <w:rFonts w:cs="Arial"/>
          <w:b/>
          <w:bCs/>
        </w:rPr>
        <w:t xml:space="preserve"> Team Annual Report 20</w:t>
      </w:r>
      <w:r w:rsidR="002B0F78">
        <w:rPr>
          <w:rFonts w:cs="Arial"/>
          <w:b/>
          <w:bCs/>
        </w:rPr>
        <w:t>2</w:t>
      </w:r>
      <w:r w:rsidR="00363868">
        <w:rPr>
          <w:rFonts w:cs="Arial"/>
          <w:b/>
          <w:bCs/>
        </w:rPr>
        <w:t>0</w:t>
      </w:r>
      <w:r w:rsidR="001C2177">
        <w:rPr>
          <w:rFonts w:cs="Arial"/>
          <w:b/>
          <w:bCs/>
        </w:rPr>
        <w:t>-202</w:t>
      </w:r>
      <w:r w:rsidR="002B0F78">
        <w:rPr>
          <w:rFonts w:cs="Arial"/>
          <w:b/>
          <w:bCs/>
        </w:rPr>
        <w:t>1</w:t>
      </w:r>
      <w:r w:rsidR="001C2177">
        <w:rPr>
          <w:rFonts w:cs="Arial"/>
          <w:b/>
          <w:bCs/>
        </w:rPr>
        <w:t xml:space="preserve"> </w:t>
      </w:r>
    </w:p>
    <w:p w14:paraId="5B8C0804" w14:textId="77777777" w:rsidR="00F4367A" w:rsidRDefault="00F4367A">
      <w:pPr>
        <w:rPr>
          <w:rFonts w:cs="Arial"/>
        </w:rPr>
      </w:pPr>
    </w:p>
    <w:p w14:paraId="261C6436" w14:textId="77777777" w:rsidR="00F4367A" w:rsidRDefault="00F4367A" w:rsidP="00514C63">
      <w:pPr>
        <w:pStyle w:val="Heading1"/>
        <w:pBdr>
          <w:top w:val="single" w:sz="4" w:space="1" w:color="auto"/>
          <w:left w:val="single" w:sz="4" w:space="4" w:color="auto"/>
          <w:bottom w:val="single" w:sz="4" w:space="1" w:color="auto"/>
          <w:right w:val="single" w:sz="4" w:space="3" w:color="auto"/>
        </w:pBdr>
        <w:jc w:val="center"/>
        <w:rPr>
          <w:u w:val="single"/>
        </w:rPr>
      </w:pPr>
    </w:p>
    <w:p w14:paraId="2A3D4588" w14:textId="77777777" w:rsidR="00F4367A" w:rsidRDefault="00F4367A" w:rsidP="00514C63">
      <w:pPr>
        <w:pStyle w:val="Heading1"/>
        <w:pBdr>
          <w:top w:val="single" w:sz="4" w:space="1" w:color="auto"/>
          <w:left w:val="single" w:sz="4" w:space="4" w:color="auto"/>
          <w:bottom w:val="single" w:sz="4" w:space="1" w:color="auto"/>
          <w:right w:val="single" w:sz="4" w:space="3" w:color="auto"/>
        </w:pBdr>
        <w:jc w:val="center"/>
        <w:rPr>
          <w:u w:val="single"/>
        </w:rPr>
      </w:pPr>
      <w:r>
        <w:rPr>
          <w:u w:val="single"/>
        </w:rPr>
        <w:t>Summary and Recommendations</w:t>
      </w:r>
    </w:p>
    <w:p w14:paraId="0BA14B0D" w14:textId="77777777" w:rsidR="00F4367A" w:rsidRDefault="00F4367A" w:rsidP="00514C63">
      <w:pPr>
        <w:pBdr>
          <w:top w:val="single" w:sz="4" w:space="1" w:color="auto"/>
          <w:left w:val="single" w:sz="4" w:space="4" w:color="auto"/>
          <w:bottom w:val="single" w:sz="4" w:space="1" w:color="auto"/>
          <w:right w:val="single" w:sz="4" w:space="3" w:color="auto"/>
        </w:pBdr>
        <w:rPr>
          <w:rFonts w:cs="Arial"/>
        </w:rPr>
      </w:pPr>
    </w:p>
    <w:p w14:paraId="45C8E0A1" w14:textId="77777777" w:rsidR="00DA1441" w:rsidRDefault="00F4367A" w:rsidP="00514C63">
      <w:pPr>
        <w:pBdr>
          <w:top w:val="single" w:sz="4" w:space="1" w:color="auto"/>
          <w:left w:val="single" w:sz="4" w:space="4" w:color="auto"/>
          <w:bottom w:val="single" w:sz="4" w:space="1" w:color="auto"/>
          <w:right w:val="single" w:sz="4" w:space="3" w:color="auto"/>
        </w:pBdr>
        <w:rPr>
          <w:rFonts w:cs="Arial"/>
        </w:rPr>
      </w:pPr>
      <w:r>
        <w:rPr>
          <w:rFonts w:cs="Arial"/>
          <w:b/>
          <w:bCs/>
        </w:rPr>
        <w:t>Purpose of report</w:t>
      </w:r>
      <w:r>
        <w:rPr>
          <w:rFonts w:cs="Arial"/>
        </w:rPr>
        <w:t xml:space="preserve">: </w:t>
      </w:r>
      <w:r w:rsidR="00514C63">
        <w:rPr>
          <w:rFonts w:cs="Arial"/>
        </w:rPr>
        <w:t xml:space="preserve"> </w:t>
      </w:r>
    </w:p>
    <w:p w14:paraId="465E4F17" w14:textId="77777777" w:rsidR="00AF136A" w:rsidRDefault="00DA1441" w:rsidP="00AF136A">
      <w:pPr>
        <w:pBdr>
          <w:top w:val="single" w:sz="4" w:space="1" w:color="auto"/>
          <w:left w:val="single" w:sz="4" w:space="4" w:color="auto"/>
          <w:bottom w:val="single" w:sz="4" w:space="1" w:color="auto"/>
          <w:right w:val="single" w:sz="4" w:space="3" w:color="auto"/>
        </w:pBdr>
        <w:ind w:left="284" w:hanging="284"/>
        <w:rPr>
          <w:rFonts w:cs="Arial"/>
        </w:rPr>
      </w:pPr>
      <w:r>
        <w:rPr>
          <w:rFonts w:cs="Arial"/>
        </w:rPr>
        <w:t xml:space="preserve">1. To </w:t>
      </w:r>
      <w:r w:rsidR="00AF136A">
        <w:rPr>
          <w:rFonts w:cs="Arial"/>
        </w:rPr>
        <w:t>appr</w:t>
      </w:r>
      <w:r w:rsidR="00832739">
        <w:rPr>
          <w:rFonts w:cs="Arial"/>
        </w:rPr>
        <w:t>a</w:t>
      </w:r>
      <w:r w:rsidR="00AF136A">
        <w:rPr>
          <w:rFonts w:cs="Arial"/>
        </w:rPr>
        <w:t>ise</w:t>
      </w:r>
      <w:r>
        <w:rPr>
          <w:rFonts w:cs="Arial"/>
        </w:rPr>
        <w:t xml:space="preserve"> Members </w:t>
      </w:r>
      <w:r w:rsidR="00AF136A">
        <w:rPr>
          <w:rFonts w:cs="Arial"/>
        </w:rPr>
        <w:t xml:space="preserve">of </w:t>
      </w:r>
      <w:r>
        <w:rPr>
          <w:rFonts w:cs="Arial"/>
        </w:rPr>
        <w:t xml:space="preserve">the activity </w:t>
      </w:r>
      <w:r w:rsidR="00514C63">
        <w:rPr>
          <w:rFonts w:cs="Arial"/>
        </w:rPr>
        <w:t xml:space="preserve">and performance </w:t>
      </w:r>
      <w:r>
        <w:rPr>
          <w:rFonts w:cs="Arial"/>
        </w:rPr>
        <w:t xml:space="preserve">of the </w:t>
      </w:r>
      <w:r w:rsidR="001C2177">
        <w:rPr>
          <w:rFonts w:cs="Arial"/>
        </w:rPr>
        <w:t>Counter Fraud Team</w:t>
      </w:r>
      <w:r>
        <w:rPr>
          <w:rFonts w:cs="Arial"/>
        </w:rPr>
        <w:t xml:space="preserve"> for the </w:t>
      </w:r>
      <w:r w:rsidR="001C2177">
        <w:rPr>
          <w:rFonts w:cs="Arial"/>
        </w:rPr>
        <w:t>fiscal year</w:t>
      </w:r>
      <w:r>
        <w:rPr>
          <w:rFonts w:cs="Arial"/>
        </w:rPr>
        <w:t xml:space="preserve"> 1 April 20</w:t>
      </w:r>
      <w:r w:rsidR="002B0F78">
        <w:rPr>
          <w:rFonts w:cs="Arial"/>
        </w:rPr>
        <w:t>20</w:t>
      </w:r>
      <w:r>
        <w:rPr>
          <w:rFonts w:cs="Arial"/>
        </w:rPr>
        <w:t xml:space="preserve"> to </w:t>
      </w:r>
      <w:r w:rsidR="0039181F">
        <w:rPr>
          <w:rFonts w:cs="Arial"/>
        </w:rPr>
        <w:t>3</w:t>
      </w:r>
      <w:r w:rsidR="004B3B92">
        <w:rPr>
          <w:rFonts w:cs="Arial"/>
        </w:rPr>
        <w:t>1 March 202</w:t>
      </w:r>
      <w:r w:rsidR="002B0F78">
        <w:rPr>
          <w:rFonts w:cs="Arial"/>
        </w:rPr>
        <w:t>1</w:t>
      </w:r>
    </w:p>
    <w:p w14:paraId="2B0CED97" w14:textId="77777777" w:rsidR="00F4367A" w:rsidRDefault="00F4367A" w:rsidP="00AF136A">
      <w:pPr>
        <w:pBdr>
          <w:top w:val="single" w:sz="4" w:space="1" w:color="auto"/>
          <w:left w:val="single" w:sz="4" w:space="4" w:color="auto"/>
          <w:bottom w:val="single" w:sz="4" w:space="1" w:color="auto"/>
          <w:right w:val="single" w:sz="4" w:space="3" w:color="auto"/>
        </w:pBdr>
        <w:ind w:left="284" w:hanging="284"/>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p>
    <w:p w14:paraId="2A03713B" w14:textId="77777777" w:rsidR="00F4367A" w:rsidRDefault="00623C2F" w:rsidP="00514C63">
      <w:pPr>
        <w:pStyle w:val="Heading1"/>
        <w:pBdr>
          <w:top w:val="single" w:sz="4" w:space="1" w:color="auto"/>
          <w:left w:val="single" w:sz="4" w:space="4" w:color="auto"/>
          <w:bottom w:val="single" w:sz="4" w:space="1" w:color="auto"/>
          <w:right w:val="single" w:sz="4" w:space="3" w:color="auto"/>
        </w:pBdr>
        <w:tabs>
          <w:tab w:val="left" w:pos="3062"/>
        </w:tabs>
        <w:rPr>
          <w:bCs w:val="0"/>
        </w:rPr>
      </w:pPr>
      <w:r>
        <w:rPr>
          <w:bCs w:val="0"/>
        </w:rPr>
        <w:t xml:space="preserve">Key decision </w:t>
      </w:r>
      <w:r w:rsidR="00C61E57">
        <w:rPr>
          <w:b w:val="0"/>
          <w:bCs w:val="0"/>
        </w:rPr>
        <w:t>No</w:t>
      </w:r>
    </w:p>
    <w:p w14:paraId="611BA0D3" w14:textId="77777777" w:rsidR="00F4367A" w:rsidRDefault="00F4367A" w:rsidP="00514C63">
      <w:pPr>
        <w:pBdr>
          <w:top w:val="single" w:sz="4" w:space="1" w:color="auto"/>
          <w:left w:val="single" w:sz="4" w:space="4" w:color="auto"/>
          <w:bottom w:val="single" w:sz="4" w:space="1" w:color="auto"/>
          <w:right w:val="single" w:sz="4" w:space="3" w:color="auto"/>
        </w:pBdr>
        <w:rPr>
          <w:rFonts w:cs="Arial"/>
        </w:rPr>
      </w:pPr>
    </w:p>
    <w:p w14:paraId="7BF5A7EC" w14:textId="77777777" w:rsidR="00F4367A" w:rsidRDefault="00F4367A" w:rsidP="00514C63">
      <w:pPr>
        <w:pBdr>
          <w:top w:val="single" w:sz="4" w:space="1" w:color="auto"/>
          <w:left w:val="single" w:sz="4" w:space="4" w:color="auto"/>
          <w:bottom w:val="single" w:sz="4" w:space="1" w:color="auto"/>
          <w:right w:val="single" w:sz="4" w:space="3" w:color="auto"/>
        </w:pBdr>
        <w:rPr>
          <w:rFonts w:cs="Arial"/>
          <w:b/>
          <w:bCs/>
        </w:rPr>
      </w:pPr>
      <w:r>
        <w:rPr>
          <w:rFonts w:cs="Arial"/>
          <w:b/>
          <w:bCs/>
        </w:rPr>
        <w:t xml:space="preserve">Executive lead member: </w:t>
      </w:r>
      <w:r w:rsidR="00514C63" w:rsidRPr="00514C63">
        <w:rPr>
          <w:rFonts w:cs="Arial"/>
          <w:bCs/>
        </w:rPr>
        <w:t>Councillor Ed Turner</w:t>
      </w:r>
    </w:p>
    <w:p w14:paraId="1A3810CF" w14:textId="77777777" w:rsidR="00F4367A" w:rsidRDefault="00F4367A" w:rsidP="00514C63">
      <w:pPr>
        <w:pStyle w:val="Heading1"/>
        <w:pBdr>
          <w:top w:val="single" w:sz="4" w:space="1" w:color="auto"/>
          <w:left w:val="single" w:sz="4" w:space="4" w:color="auto"/>
          <w:bottom w:val="single" w:sz="4" w:space="1" w:color="auto"/>
          <w:right w:val="single" w:sz="4" w:space="3" w:color="auto"/>
        </w:pBdr>
      </w:pPr>
    </w:p>
    <w:p w14:paraId="73E98347" w14:textId="77777777" w:rsidR="00F4367A" w:rsidRDefault="00F4367A" w:rsidP="00514C63">
      <w:pPr>
        <w:pBdr>
          <w:top w:val="single" w:sz="4" w:space="1" w:color="auto"/>
          <w:left w:val="single" w:sz="4" w:space="4" w:color="auto"/>
          <w:bottom w:val="single" w:sz="4" w:space="1" w:color="auto"/>
          <w:right w:val="single" w:sz="4" w:space="3" w:color="auto"/>
        </w:pBdr>
        <w:rPr>
          <w:rFonts w:cs="Arial"/>
          <w:b/>
          <w:bCs/>
        </w:rPr>
      </w:pPr>
      <w:r>
        <w:rPr>
          <w:rFonts w:cs="Arial"/>
          <w:b/>
          <w:bCs/>
        </w:rPr>
        <w:t xml:space="preserve">Policy Framework: </w:t>
      </w:r>
      <w:r w:rsidR="00C61E57">
        <w:rPr>
          <w:rFonts w:cs="Arial"/>
          <w:b/>
          <w:bCs/>
        </w:rPr>
        <w:t>Corporate Plan Priority – Efficient &amp; Effective Council</w:t>
      </w:r>
    </w:p>
    <w:p w14:paraId="605E2FD4" w14:textId="77777777" w:rsidR="00F4367A" w:rsidRDefault="00F4367A" w:rsidP="00514C63">
      <w:pPr>
        <w:pStyle w:val="Heading1"/>
        <w:pBdr>
          <w:top w:val="single" w:sz="4" w:space="1" w:color="auto"/>
          <w:left w:val="single" w:sz="4" w:space="4" w:color="auto"/>
          <w:bottom w:val="single" w:sz="4" w:space="1" w:color="auto"/>
          <w:right w:val="single" w:sz="4" w:space="3" w:color="auto"/>
        </w:pBdr>
      </w:pPr>
    </w:p>
    <w:p w14:paraId="185DCDBB" w14:textId="77777777" w:rsidR="00F4367A" w:rsidRDefault="00F4367A" w:rsidP="00514C63">
      <w:pPr>
        <w:pBdr>
          <w:top w:val="single" w:sz="4" w:space="1" w:color="auto"/>
          <w:left w:val="single" w:sz="4" w:space="4" w:color="auto"/>
          <w:bottom w:val="single" w:sz="4" w:space="1" w:color="auto"/>
          <w:right w:val="single" w:sz="4" w:space="3" w:color="auto"/>
        </w:pBdr>
        <w:tabs>
          <w:tab w:val="left" w:pos="3048"/>
        </w:tabs>
        <w:rPr>
          <w:rFonts w:cs="Arial"/>
          <w:b/>
        </w:rPr>
      </w:pPr>
      <w:r>
        <w:rPr>
          <w:rFonts w:cs="Arial"/>
          <w:b/>
        </w:rPr>
        <w:t xml:space="preserve">Recommendation(s): </w:t>
      </w:r>
      <w:r w:rsidR="00514C63" w:rsidRPr="00514C63">
        <w:rPr>
          <w:rFonts w:cs="Arial"/>
        </w:rPr>
        <w:t>That the report be noted</w:t>
      </w:r>
      <w:r>
        <w:rPr>
          <w:rFonts w:cs="Arial"/>
          <w:b/>
        </w:rPr>
        <w:tab/>
      </w:r>
    </w:p>
    <w:p w14:paraId="61AA401F" w14:textId="77777777" w:rsidR="00F4367A" w:rsidRDefault="00F4367A" w:rsidP="00514C63">
      <w:pPr>
        <w:pBdr>
          <w:top w:val="single" w:sz="4" w:space="1" w:color="auto"/>
          <w:left w:val="single" w:sz="4" w:space="4" w:color="auto"/>
          <w:bottom w:val="single" w:sz="4" w:space="1" w:color="auto"/>
          <w:right w:val="single" w:sz="4" w:space="3" w:color="auto"/>
        </w:pBdr>
        <w:tabs>
          <w:tab w:val="left" w:pos="3048"/>
        </w:tabs>
        <w:rPr>
          <w:rFonts w:cs="Arial"/>
          <w:b/>
        </w:rPr>
      </w:pPr>
    </w:p>
    <w:p w14:paraId="5B6AC026" w14:textId="77777777" w:rsidR="00F4367A" w:rsidRDefault="00F4367A">
      <w:pPr>
        <w:rPr>
          <w:rFonts w:cs="Arial"/>
        </w:rPr>
      </w:pPr>
    </w:p>
    <w:p w14:paraId="295A584F" w14:textId="77777777" w:rsidR="007F2AD3" w:rsidRPr="00825D98" w:rsidRDefault="005729D3">
      <w:pPr>
        <w:rPr>
          <w:rFonts w:cs="Arial"/>
          <w:highlight w:val="yellow"/>
        </w:rPr>
      </w:pPr>
      <w:r w:rsidRPr="001A5BB0">
        <w:rPr>
          <w:rFonts w:cs="Arial"/>
          <w:b/>
        </w:rPr>
        <w:t xml:space="preserve">Appendix 1 – </w:t>
      </w:r>
      <w:r w:rsidR="0051245F" w:rsidRPr="001A5BB0">
        <w:rPr>
          <w:rFonts w:cs="Arial"/>
        </w:rPr>
        <w:t>Internal Investigations – Exempt from publication</w:t>
      </w:r>
    </w:p>
    <w:p w14:paraId="09FA94C3" w14:textId="77777777" w:rsidR="005729D3" w:rsidRDefault="005729D3">
      <w:pPr>
        <w:rPr>
          <w:rFonts w:cs="Arial"/>
          <w:b/>
        </w:rPr>
      </w:pPr>
    </w:p>
    <w:p w14:paraId="6D29A9F2" w14:textId="77777777" w:rsidR="005729D3" w:rsidRDefault="005729D3">
      <w:pPr>
        <w:rPr>
          <w:rFonts w:cs="Arial"/>
          <w:b/>
        </w:rPr>
      </w:pPr>
    </w:p>
    <w:p w14:paraId="72699016" w14:textId="77777777" w:rsidR="007B6E54" w:rsidRDefault="00302A89">
      <w:pPr>
        <w:rPr>
          <w:rFonts w:cs="Arial"/>
          <w:b/>
        </w:rPr>
      </w:pPr>
      <w:r>
        <w:rPr>
          <w:rFonts w:cs="Arial"/>
          <w:b/>
        </w:rPr>
        <w:t xml:space="preserve">      </w:t>
      </w:r>
      <w:r w:rsidR="007B6E54">
        <w:rPr>
          <w:rFonts w:cs="Arial"/>
          <w:b/>
        </w:rPr>
        <w:t>Background</w:t>
      </w:r>
    </w:p>
    <w:p w14:paraId="56C9A0D7" w14:textId="77777777" w:rsidR="00052682" w:rsidRDefault="00052682">
      <w:pPr>
        <w:rPr>
          <w:rFonts w:cs="Arial"/>
          <w:b/>
        </w:rPr>
      </w:pPr>
    </w:p>
    <w:p w14:paraId="102C33E5" w14:textId="77777777" w:rsidR="00F83EE5" w:rsidRDefault="00476314" w:rsidP="00B255A6">
      <w:pPr>
        <w:pStyle w:val="ListParagraph"/>
        <w:numPr>
          <w:ilvl w:val="0"/>
          <w:numId w:val="1"/>
        </w:numPr>
        <w:rPr>
          <w:rFonts w:cs="Arial"/>
        </w:rPr>
      </w:pPr>
      <w:r w:rsidRPr="008F4C31">
        <w:rPr>
          <w:rFonts w:cs="Arial"/>
        </w:rPr>
        <w:t xml:space="preserve">The </w:t>
      </w:r>
      <w:r w:rsidR="005512A2" w:rsidRPr="008F4C31">
        <w:rPr>
          <w:rFonts w:cs="Arial"/>
        </w:rPr>
        <w:t xml:space="preserve">remit of the </w:t>
      </w:r>
      <w:r w:rsidRPr="008F4C31">
        <w:rPr>
          <w:rFonts w:cs="Arial"/>
        </w:rPr>
        <w:t>C</w:t>
      </w:r>
      <w:r w:rsidR="008F4C31" w:rsidRPr="008F4C31">
        <w:rPr>
          <w:rFonts w:cs="Arial"/>
        </w:rPr>
        <w:t xml:space="preserve">ounter Fraud </w:t>
      </w:r>
      <w:r w:rsidR="005512A2" w:rsidRPr="008F4C31">
        <w:rPr>
          <w:rFonts w:cs="Arial"/>
        </w:rPr>
        <w:t>Team</w:t>
      </w:r>
      <w:r w:rsidR="00F778B2">
        <w:rPr>
          <w:rFonts w:cs="Arial"/>
        </w:rPr>
        <w:t xml:space="preserve"> (the Team) </w:t>
      </w:r>
      <w:r w:rsidRPr="008F4C31">
        <w:rPr>
          <w:rFonts w:cs="Arial"/>
        </w:rPr>
        <w:t xml:space="preserve">is to tackle fraud and irregularity across the Council, aligned </w:t>
      </w:r>
      <w:r w:rsidR="005A6D59" w:rsidRPr="008F4C31">
        <w:rPr>
          <w:rFonts w:cs="Arial"/>
        </w:rPr>
        <w:t xml:space="preserve">to </w:t>
      </w:r>
      <w:r w:rsidR="00F778B2">
        <w:rPr>
          <w:rFonts w:cs="Arial"/>
        </w:rPr>
        <w:t>the</w:t>
      </w:r>
      <w:r w:rsidR="005A6D59" w:rsidRPr="008F4C31">
        <w:rPr>
          <w:rFonts w:cs="Arial"/>
        </w:rPr>
        <w:t xml:space="preserve"> </w:t>
      </w:r>
      <w:r w:rsidR="001046A6" w:rsidRPr="008F4C31">
        <w:rPr>
          <w:rFonts w:cs="Arial"/>
        </w:rPr>
        <w:t xml:space="preserve">services’ fraud risks and the priorities </w:t>
      </w:r>
      <w:r w:rsidR="008F4C31">
        <w:rPr>
          <w:rFonts w:cs="Arial"/>
        </w:rPr>
        <w:t>as identified in the Council’s own</w:t>
      </w:r>
      <w:r w:rsidR="008F4C31" w:rsidRPr="008F4C31">
        <w:rPr>
          <w:rFonts w:cs="Arial"/>
        </w:rPr>
        <w:t xml:space="preserve"> Organisational Fraud Risk Assessment 2019</w:t>
      </w:r>
      <w:r w:rsidR="008F4C31">
        <w:rPr>
          <w:rFonts w:cs="Arial"/>
        </w:rPr>
        <w:t xml:space="preserve">, as well as </w:t>
      </w:r>
      <w:r w:rsidR="001046A6" w:rsidRPr="008F4C31">
        <w:rPr>
          <w:rFonts w:cs="Arial"/>
        </w:rPr>
        <w:t xml:space="preserve">by </w:t>
      </w:r>
      <w:r w:rsidR="00E96638" w:rsidRPr="008F4C31">
        <w:rPr>
          <w:rFonts w:cs="Arial"/>
        </w:rPr>
        <w:t xml:space="preserve">the </w:t>
      </w:r>
      <w:r w:rsidR="005A6D59" w:rsidRPr="008F4C31">
        <w:rPr>
          <w:rFonts w:cs="Arial"/>
        </w:rPr>
        <w:t xml:space="preserve">previous </w:t>
      </w:r>
      <w:r w:rsidR="00E96638" w:rsidRPr="008F4C31">
        <w:rPr>
          <w:rFonts w:cs="Arial"/>
        </w:rPr>
        <w:t>Audit Commission</w:t>
      </w:r>
      <w:r w:rsidR="008F4C31">
        <w:rPr>
          <w:rFonts w:cs="Arial"/>
        </w:rPr>
        <w:t xml:space="preserve"> and also </w:t>
      </w:r>
      <w:r w:rsidR="008F4C31" w:rsidRPr="008F4C31">
        <w:rPr>
          <w:rFonts w:cs="Arial"/>
        </w:rPr>
        <w:t>CIPFA’s Fighting Fraud and Corruption Locally Strategy (FFCL) 2016-2019</w:t>
      </w:r>
      <w:r w:rsidR="008F4C31">
        <w:rPr>
          <w:rFonts w:cs="Arial"/>
        </w:rPr>
        <w:t>.</w:t>
      </w:r>
    </w:p>
    <w:p w14:paraId="0ACF9F3A" w14:textId="77777777" w:rsidR="008F4C31" w:rsidRPr="008F4C31" w:rsidRDefault="008F4C31" w:rsidP="008F4C31">
      <w:pPr>
        <w:pStyle w:val="ListParagraph"/>
        <w:ind w:left="360"/>
        <w:rPr>
          <w:rFonts w:cs="Arial"/>
        </w:rPr>
      </w:pPr>
    </w:p>
    <w:p w14:paraId="5A1C2F0A" w14:textId="77777777" w:rsidR="001046A6" w:rsidRPr="00E71032" w:rsidRDefault="001046A6" w:rsidP="00B255A6">
      <w:pPr>
        <w:pStyle w:val="ListParagraph"/>
        <w:numPr>
          <w:ilvl w:val="0"/>
          <w:numId w:val="1"/>
        </w:numPr>
        <w:rPr>
          <w:rFonts w:cs="Arial"/>
        </w:rPr>
      </w:pPr>
      <w:r w:rsidRPr="00F52A3F">
        <w:rPr>
          <w:rFonts w:cs="Arial"/>
        </w:rPr>
        <w:t xml:space="preserve">The aims and objectives of the </w:t>
      </w:r>
      <w:r w:rsidR="00F778B2">
        <w:rPr>
          <w:rFonts w:cs="Arial"/>
        </w:rPr>
        <w:t>T</w:t>
      </w:r>
      <w:r w:rsidRPr="00F52A3F">
        <w:rPr>
          <w:rFonts w:cs="Arial"/>
        </w:rPr>
        <w:t xml:space="preserve">eam are to provide high quality professional </w:t>
      </w:r>
      <w:r w:rsidR="00862AB0" w:rsidRPr="00F52A3F">
        <w:rPr>
          <w:rFonts w:cs="Arial"/>
        </w:rPr>
        <w:t>c</w:t>
      </w:r>
      <w:r w:rsidRPr="00F52A3F">
        <w:rPr>
          <w:rFonts w:cs="Arial"/>
        </w:rPr>
        <w:t xml:space="preserve">orporate </w:t>
      </w:r>
      <w:r w:rsidR="00862AB0" w:rsidRPr="00E71032">
        <w:rPr>
          <w:rFonts w:cs="Arial"/>
        </w:rPr>
        <w:t>f</w:t>
      </w:r>
      <w:r w:rsidRPr="00E71032">
        <w:rPr>
          <w:rFonts w:cs="Arial"/>
        </w:rPr>
        <w:t xml:space="preserve">raud </w:t>
      </w:r>
      <w:r w:rsidR="00862AB0" w:rsidRPr="00E71032">
        <w:rPr>
          <w:rFonts w:cs="Arial"/>
        </w:rPr>
        <w:t xml:space="preserve">investigation </w:t>
      </w:r>
      <w:r w:rsidRPr="00E71032">
        <w:rPr>
          <w:rFonts w:cs="Arial"/>
        </w:rPr>
        <w:t xml:space="preserve">services to the Council </w:t>
      </w:r>
      <w:r w:rsidR="00862AB0" w:rsidRPr="00E71032">
        <w:rPr>
          <w:rFonts w:cs="Arial"/>
        </w:rPr>
        <w:t>to</w:t>
      </w:r>
      <w:r w:rsidRPr="00E71032">
        <w:rPr>
          <w:rFonts w:cs="Arial"/>
        </w:rPr>
        <w:t xml:space="preserve"> prevent and detect fraud and error within </w:t>
      </w:r>
      <w:r w:rsidR="00862AB0" w:rsidRPr="00E71032">
        <w:rPr>
          <w:rFonts w:cs="Arial"/>
        </w:rPr>
        <w:t xml:space="preserve">the </w:t>
      </w:r>
      <w:r w:rsidRPr="00E71032">
        <w:rPr>
          <w:rFonts w:cs="Arial"/>
        </w:rPr>
        <w:t xml:space="preserve">Council and </w:t>
      </w:r>
      <w:r w:rsidR="008F4C31">
        <w:rPr>
          <w:rFonts w:cs="Arial"/>
        </w:rPr>
        <w:t xml:space="preserve">also to </w:t>
      </w:r>
      <w:r w:rsidRPr="00E71032">
        <w:rPr>
          <w:rFonts w:cs="Arial"/>
        </w:rPr>
        <w:t>partner organisations</w:t>
      </w:r>
      <w:r w:rsidR="008F4C31">
        <w:rPr>
          <w:rFonts w:cs="Arial"/>
        </w:rPr>
        <w:t xml:space="preserve"> on a commercial basis</w:t>
      </w:r>
      <w:r w:rsidRPr="00E71032">
        <w:rPr>
          <w:rFonts w:cs="Arial"/>
        </w:rPr>
        <w:t>, and to assist cross border agencies where possible.</w:t>
      </w:r>
      <w:r w:rsidR="00F83EE5" w:rsidRPr="00E71032">
        <w:rPr>
          <w:rFonts w:cs="Arial"/>
        </w:rPr>
        <w:t xml:space="preserve"> Through this activity, financial losses are prevented</w:t>
      </w:r>
      <w:r w:rsidR="005A6D59" w:rsidRPr="00E71032">
        <w:rPr>
          <w:rFonts w:cs="Arial"/>
        </w:rPr>
        <w:t xml:space="preserve">, </w:t>
      </w:r>
      <w:proofErr w:type="gramStart"/>
      <w:r w:rsidR="00F83EE5" w:rsidRPr="00E71032">
        <w:rPr>
          <w:rFonts w:cs="Arial"/>
        </w:rPr>
        <w:lastRenderedPageBreak/>
        <w:t>additional</w:t>
      </w:r>
      <w:proofErr w:type="gramEnd"/>
      <w:r w:rsidR="00F83EE5" w:rsidRPr="00E71032">
        <w:rPr>
          <w:rFonts w:cs="Arial"/>
        </w:rPr>
        <w:t xml:space="preserve"> rev</w:t>
      </w:r>
      <w:r w:rsidR="005A6D59" w:rsidRPr="00E71032">
        <w:rPr>
          <w:rFonts w:cs="Arial"/>
        </w:rPr>
        <w:t>enue is identified for recovery, and income is secured through supply of services.</w:t>
      </w:r>
    </w:p>
    <w:p w14:paraId="06456A9A" w14:textId="77777777" w:rsidR="001B5C57" w:rsidRDefault="001B5C57" w:rsidP="001B5C57">
      <w:pPr>
        <w:autoSpaceDE w:val="0"/>
        <w:autoSpaceDN w:val="0"/>
        <w:adjustRightInd w:val="0"/>
        <w:ind w:left="360"/>
        <w:jc w:val="both"/>
        <w:rPr>
          <w:rFonts w:cs="Arial"/>
          <w:b/>
          <w:lang w:eastAsia="en-GB"/>
        </w:rPr>
      </w:pPr>
    </w:p>
    <w:p w14:paraId="301752DD" w14:textId="77777777" w:rsidR="002A48DC" w:rsidRDefault="002A48DC" w:rsidP="009748AD">
      <w:pPr>
        <w:autoSpaceDE w:val="0"/>
        <w:autoSpaceDN w:val="0"/>
        <w:adjustRightInd w:val="0"/>
        <w:ind w:firstLine="360"/>
        <w:jc w:val="both"/>
        <w:rPr>
          <w:rFonts w:cs="Arial"/>
          <w:b/>
          <w:lang w:eastAsia="en-GB"/>
        </w:rPr>
      </w:pPr>
      <w:r>
        <w:rPr>
          <w:rFonts w:cs="Arial"/>
          <w:b/>
          <w:lang w:eastAsia="en-GB"/>
        </w:rPr>
        <w:t>Performance</w:t>
      </w:r>
      <w:r w:rsidR="00F855DE">
        <w:rPr>
          <w:rFonts w:cs="Arial"/>
          <w:b/>
          <w:lang w:eastAsia="en-GB"/>
        </w:rPr>
        <w:t xml:space="preserve"> </w:t>
      </w:r>
      <w:r w:rsidR="008F4C31">
        <w:rPr>
          <w:rFonts w:cs="Arial"/>
          <w:b/>
          <w:lang w:eastAsia="en-GB"/>
        </w:rPr>
        <w:t>2020</w:t>
      </w:r>
      <w:r w:rsidR="00604B06">
        <w:rPr>
          <w:rFonts w:cs="Arial"/>
          <w:b/>
          <w:lang w:eastAsia="en-GB"/>
        </w:rPr>
        <w:t>/21</w:t>
      </w:r>
    </w:p>
    <w:p w14:paraId="09D2B59D" w14:textId="77777777" w:rsidR="009471F5" w:rsidRPr="002A48DC" w:rsidRDefault="009471F5" w:rsidP="009748AD">
      <w:pPr>
        <w:autoSpaceDE w:val="0"/>
        <w:autoSpaceDN w:val="0"/>
        <w:adjustRightInd w:val="0"/>
        <w:ind w:firstLine="360"/>
        <w:jc w:val="both"/>
        <w:rPr>
          <w:rFonts w:cs="Arial"/>
          <w:b/>
          <w:lang w:eastAsia="en-GB"/>
        </w:rPr>
      </w:pPr>
    </w:p>
    <w:p w14:paraId="738E0CE4" w14:textId="4131C2C2" w:rsidR="00036F46" w:rsidRPr="004D0250" w:rsidRDefault="00F83EE5" w:rsidP="00B255A6">
      <w:pPr>
        <w:pStyle w:val="ListParagraph"/>
        <w:numPr>
          <w:ilvl w:val="0"/>
          <w:numId w:val="1"/>
        </w:numPr>
        <w:autoSpaceDE w:val="0"/>
        <w:autoSpaceDN w:val="0"/>
        <w:adjustRightInd w:val="0"/>
        <w:jc w:val="both"/>
        <w:rPr>
          <w:rFonts w:cs="Arial"/>
          <w:lang w:eastAsia="en-GB"/>
        </w:rPr>
      </w:pPr>
      <w:r>
        <w:rPr>
          <w:rFonts w:cs="Arial"/>
        </w:rPr>
        <w:t>For 20</w:t>
      </w:r>
      <w:r w:rsidR="00604B06">
        <w:rPr>
          <w:rFonts w:cs="Arial"/>
        </w:rPr>
        <w:t>20</w:t>
      </w:r>
      <w:r w:rsidR="005A6D59">
        <w:rPr>
          <w:rFonts w:cs="Arial"/>
        </w:rPr>
        <w:t>/</w:t>
      </w:r>
      <w:r w:rsidR="008F4C31">
        <w:rPr>
          <w:rFonts w:cs="Arial"/>
        </w:rPr>
        <w:t>2</w:t>
      </w:r>
      <w:r w:rsidR="00604B06">
        <w:rPr>
          <w:rFonts w:cs="Arial"/>
        </w:rPr>
        <w:t>1</w:t>
      </w:r>
      <w:r>
        <w:rPr>
          <w:rFonts w:cs="Arial"/>
        </w:rPr>
        <w:t>, t</w:t>
      </w:r>
      <w:r w:rsidR="00036F46" w:rsidRPr="00036F46">
        <w:rPr>
          <w:rFonts w:cs="Arial"/>
        </w:rPr>
        <w:t xml:space="preserve">here </w:t>
      </w:r>
      <w:r w:rsidR="00604B06">
        <w:rPr>
          <w:rFonts w:cs="Arial"/>
        </w:rPr>
        <w:t>we</w:t>
      </w:r>
      <w:r>
        <w:rPr>
          <w:rFonts w:cs="Arial"/>
        </w:rPr>
        <w:t>re</w:t>
      </w:r>
      <w:r w:rsidR="00036F46" w:rsidRPr="00036F46">
        <w:rPr>
          <w:rFonts w:cs="Arial"/>
        </w:rPr>
        <w:t xml:space="preserve"> </w:t>
      </w:r>
      <w:r w:rsidR="007E51E2">
        <w:rPr>
          <w:rFonts w:cs="Arial"/>
        </w:rPr>
        <w:t>f</w:t>
      </w:r>
      <w:r w:rsidR="00604B06">
        <w:rPr>
          <w:rFonts w:cs="Arial"/>
        </w:rPr>
        <w:t>ive</w:t>
      </w:r>
      <w:r w:rsidR="00036F46" w:rsidRPr="00036F46">
        <w:rPr>
          <w:rFonts w:cs="Arial"/>
        </w:rPr>
        <w:t xml:space="preserve"> Service Performance Indicators </w:t>
      </w:r>
      <w:r w:rsidR="00036F46" w:rsidRPr="00036F46">
        <w:rPr>
          <w:rFonts w:cs="Arial"/>
          <w:lang w:eastAsia="en-GB"/>
        </w:rPr>
        <w:t xml:space="preserve">used to track performance on a monthly basis. </w:t>
      </w:r>
      <w:r w:rsidR="004D0250">
        <w:rPr>
          <w:rFonts w:cs="Arial"/>
          <w:lang w:eastAsia="en-GB"/>
        </w:rPr>
        <w:t>The team were responsible for achieving fraud prevention, detection and identification values in excess of £</w:t>
      </w:r>
      <w:r w:rsidR="00604B06">
        <w:rPr>
          <w:rFonts w:cs="Arial"/>
          <w:lang w:eastAsia="en-GB"/>
        </w:rPr>
        <w:t>9</w:t>
      </w:r>
      <w:r w:rsidR="004D0250">
        <w:rPr>
          <w:rFonts w:cs="Arial"/>
          <w:lang w:eastAsia="en-GB"/>
        </w:rPr>
        <w:t>.</w:t>
      </w:r>
      <w:r w:rsidR="00183DB0">
        <w:rPr>
          <w:rFonts w:cs="Arial"/>
          <w:lang w:eastAsia="en-GB"/>
        </w:rPr>
        <w:t>4</w:t>
      </w:r>
      <w:r w:rsidR="004D0250">
        <w:rPr>
          <w:rFonts w:cs="Arial"/>
          <w:lang w:eastAsia="en-GB"/>
        </w:rPr>
        <w:t xml:space="preserve">m in the period. </w:t>
      </w:r>
      <w:r w:rsidR="00036F46" w:rsidRPr="004D0250">
        <w:rPr>
          <w:rFonts w:cs="Arial"/>
          <w:lang w:eastAsia="en-GB"/>
        </w:rPr>
        <w:t xml:space="preserve">Performance </w:t>
      </w:r>
      <w:r w:rsidR="004C71E8" w:rsidRPr="004D0250">
        <w:rPr>
          <w:rFonts w:cs="Arial"/>
          <w:lang w:eastAsia="en-GB"/>
        </w:rPr>
        <w:t xml:space="preserve">against these targets </w:t>
      </w:r>
      <w:r w:rsidR="00054FBB" w:rsidRPr="004D0250">
        <w:rPr>
          <w:rFonts w:cs="Arial"/>
          <w:lang w:eastAsia="en-GB"/>
        </w:rPr>
        <w:t>is shown in the table below</w:t>
      </w:r>
      <w:r w:rsidR="00036F46" w:rsidRPr="004D0250">
        <w:rPr>
          <w:rFonts w:cs="Arial"/>
          <w:lang w:eastAsia="en-GB"/>
        </w:rPr>
        <w:t xml:space="preserve">. </w:t>
      </w:r>
    </w:p>
    <w:p w14:paraId="2B918442" w14:textId="77777777" w:rsidR="00036F46" w:rsidRDefault="00036F46" w:rsidP="00036F46">
      <w:pPr>
        <w:rPr>
          <w:rFonts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2126"/>
        <w:gridCol w:w="1843"/>
        <w:gridCol w:w="2693"/>
      </w:tblGrid>
      <w:tr w:rsidR="00395E75" w:rsidRPr="002A332E" w14:paraId="7298EBF0" w14:textId="77777777" w:rsidTr="008F1AAB">
        <w:tc>
          <w:tcPr>
            <w:tcW w:w="8505" w:type="dxa"/>
            <w:gridSpan w:val="4"/>
            <w:shd w:val="clear" w:color="auto" w:fill="548DD4"/>
          </w:tcPr>
          <w:p w14:paraId="088BB484" w14:textId="77777777" w:rsidR="00395E75" w:rsidRDefault="00395E75" w:rsidP="009B2DC1">
            <w:pPr>
              <w:autoSpaceDE w:val="0"/>
              <w:autoSpaceDN w:val="0"/>
              <w:adjustRightInd w:val="0"/>
              <w:rPr>
                <w:rFonts w:cs="Arial"/>
                <w:b/>
                <w:lang w:eastAsia="en-GB"/>
              </w:rPr>
            </w:pPr>
            <w:r>
              <w:rPr>
                <w:rFonts w:cs="Arial"/>
                <w:b/>
                <w:lang w:eastAsia="en-GB"/>
              </w:rPr>
              <w:t>Table 1 - Investigations Team Performance from 01 April 20</w:t>
            </w:r>
            <w:r w:rsidR="009B2DC1">
              <w:rPr>
                <w:rFonts w:cs="Arial"/>
                <w:b/>
                <w:lang w:eastAsia="en-GB"/>
              </w:rPr>
              <w:t>20</w:t>
            </w:r>
            <w:r>
              <w:rPr>
                <w:rFonts w:cs="Arial"/>
                <w:b/>
                <w:lang w:eastAsia="en-GB"/>
              </w:rPr>
              <w:t xml:space="preserve"> </w:t>
            </w:r>
            <w:r w:rsidRPr="00CF67F4">
              <w:rPr>
                <w:rFonts w:cs="Arial"/>
                <w:b/>
                <w:lang w:eastAsia="en-GB"/>
              </w:rPr>
              <w:t>to 3</w:t>
            </w:r>
            <w:r w:rsidR="001C2177">
              <w:rPr>
                <w:rFonts w:cs="Arial"/>
                <w:b/>
                <w:lang w:eastAsia="en-GB"/>
              </w:rPr>
              <w:t>1 March 2021</w:t>
            </w:r>
          </w:p>
        </w:tc>
      </w:tr>
      <w:tr w:rsidR="00C15A06" w:rsidRPr="002A332E" w14:paraId="7A4115F4" w14:textId="77777777" w:rsidTr="00C15A06">
        <w:tc>
          <w:tcPr>
            <w:tcW w:w="1843" w:type="dxa"/>
            <w:shd w:val="clear" w:color="auto" w:fill="548DD4"/>
          </w:tcPr>
          <w:p w14:paraId="6FA05B08" w14:textId="77777777" w:rsidR="00C15A06" w:rsidRPr="002A332E" w:rsidRDefault="00C15A06" w:rsidP="00293121">
            <w:pPr>
              <w:autoSpaceDE w:val="0"/>
              <w:autoSpaceDN w:val="0"/>
              <w:adjustRightInd w:val="0"/>
              <w:jc w:val="center"/>
              <w:rPr>
                <w:rFonts w:cs="Arial"/>
                <w:b/>
                <w:lang w:eastAsia="en-GB"/>
              </w:rPr>
            </w:pPr>
            <w:r w:rsidRPr="002A332E">
              <w:rPr>
                <w:rFonts w:cs="Arial"/>
                <w:b/>
                <w:lang w:eastAsia="en-GB"/>
              </w:rPr>
              <w:t>Measure</w:t>
            </w:r>
          </w:p>
          <w:p w14:paraId="75D1440E" w14:textId="77777777" w:rsidR="00C15A06" w:rsidRPr="002A332E" w:rsidRDefault="00C15A06" w:rsidP="00293121">
            <w:pPr>
              <w:autoSpaceDE w:val="0"/>
              <w:autoSpaceDN w:val="0"/>
              <w:adjustRightInd w:val="0"/>
              <w:jc w:val="center"/>
              <w:rPr>
                <w:rFonts w:cs="Arial"/>
                <w:b/>
                <w:lang w:eastAsia="en-GB"/>
              </w:rPr>
            </w:pPr>
          </w:p>
        </w:tc>
        <w:tc>
          <w:tcPr>
            <w:tcW w:w="2126" w:type="dxa"/>
            <w:shd w:val="clear" w:color="auto" w:fill="548DD4"/>
          </w:tcPr>
          <w:p w14:paraId="782CBA8E" w14:textId="77777777" w:rsidR="00C15A06" w:rsidRDefault="00C15A06" w:rsidP="00293121">
            <w:pPr>
              <w:autoSpaceDE w:val="0"/>
              <w:autoSpaceDN w:val="0"/>
              <w:adjustRightInd w:val="0"/>
              <w:jc w:val="center"/>
              <w:rPr>
                <w:rFonts w:cs="Arial"/>
                <w:b/>
                <w:lang w:eastAsia="en-GB"/>
              </w:rPr>
            </w:pPr>
            <w:r>
              <w:rPr>
                <w:rFonts w:cs="Arial"/>
                <w:b/>
                <w:lang w:eastAsia="en-GB"/>
              </w:rPr>
              <w:t>Annual Target</w:t>
            </w:r>
          </w:p>
          <w:p w14:paraId="66FDC1F6" w14:textId="77777777" w:rsidR="00C15A06" w:rsidRDefault="00C15A06" w:rsidP="00293121">
            <w:pPr>
              <w:autoSpaceDE w:val="0"/>
              <w:autoSpaceDN w:val="0"/>
              <w:adjustRightInd w:val="0"/>
              <w:jc w:val="center"/>
              <w:rPr>
                <w:rFonts w:cs="Arial"/>
                <w:b/>
                <w:lang w:eastAsia="en-GB"/>
              </w:rPr>
            </w:pPr>
          </w:p>
        </w:tc>
        <w:tc>
          <w:tcPr>
            <w:tcW w:w="1843" w:type="dxa"/>
            <w:shd w:val="clear" w:color="auto" w:fill="548DD4"/>
          </w:tcPr>
          <w:p w14:paraId="3006D542" w14:textId="77777777" w:rsidR="00C15A06" w:rsidRPr="002A332E" w:rsidRDefault="00C15A06" w:rsidP="00FE366A">
            <w:pPr>
              <w:autoSpaceDE w:val="0"/>
              <w:autoSpaceDN w:val="0"/>
              <w:adjustRightInd w:val="0"/>
              <w:jc w:val="center"/>
              <w:rPr>
                <w:rFonts w:cs="Arial"/>
                <w:b/>
                <w:lang w:eastAsia="en-GB"/>
              </w:rPr>
            </w:pPr>
            <w:r>
              <w:rPr>
                <w:rFonts w:cs="Arial"/>
                <w:b/>
                <w:lang w:eastAsia="en-GB"/>
              </w:rPr>
              <w:t>Total Achieved</w:t>
            </w:r>
          </w:p>
        </w:tc>
        <w:tc>
          <w:tcPr>
            <w:tcW w:w="2693" w:type="dxa"/>
            <w:shd w:val="clear" w:color="auto" w:fill="548DD4"/>
          </w:tcPr>
          <w:p w14:paraId="1130051E" w14:textId="77777777" w:rsidR="00C15A06" w:rsidRDefault="00C15A06" w:rsidP="00293121">
            <w:pPr>
              <w:autoSpaceDE w:val="0"/>
              <w:autoSpaceDN w:val="0"/>
              <w:adjustRightInd w:val="0"/>
              <w:jc w:val="center"/>
              <w:rPr>
                <w:rFonts w:cs="Arial"/>
                <w:b/>
                <w:lang w:eastAsia="en-GB"/>
              </w:rPr>
            </w:pPr>
            <w:r w:rsidRPr="00395E75">
              <w:rPr>
                <w:rFonts w:cs="Arial"/>
                <w:b/>
                <w:lang w:eastAsia="en-GB"/>
              </w:rPr>
              <w:t>Comment</w:t>
            </w:r>
          </w:p>
        </w:tc>
      </w:tr>
      <w:tr w:rsidR="00C15A06" w:rsidRPr="002A332E" w14:paraId="1EF00629" w14:textId="77777777" w:rsidTr="00B77EE7">
        <w:trPr>
          <w:trHeight w:val="1189"/>
        </w:trPr>
        <w:tc>
          <w:tcPr>
            <w:tcW w:w="1843" w:type="dxa"/>
            <w:shd w:val="clear" w:color="auto" w:fill="auto"/>
          </w:tcPr>
          <w:p w14:paraId="2DF42B7A" w14:textId="77777777" w:rsidR="00C15A06" w:rsidRPr="00395E75" w:rsidRDefault="00C15A06" w:rsidP="000B234E">
            <w:pPr>
              <w:autoSpaceDE w:val="0"/>
              <w:autoSpaceDN w:val="0"/>
              <w:adjustRightInd w:val="0"/>
              <w:rPr>
                <w:rFonts w:cs="Arial"/>
                <w:sz w:val="22"/>
                <w:szCs w:val="22"/>
                <w:lang w:eastAsia="en-GB"/>
              </w:rPr>
            </w:pPr>
            <w:r w:rsidRPr="00395E75">
              <w:rPr>
                <w:bCs/>
                <w:sz w:val="22"/>
                <w:szCs w:val="22"/>
              </w:rPr>
              <w:t>Number of social housing properties recovered and applications for housing stopped</w:t>
            </w:r>
          </w:p>
        </w:tc>
        <w:tc>
          <w:tcPr>
            <w:tcW w:w="2126" w:type="dxa"/>
          </w:tcPr>
          <w:p w14:paraId="0B34A849" w14:textId="77777777" w:rsidR="00C15A06" w:rsidRPr="00395E75" w:rsidRDefault="00C15A06" w:rsidP="00293121">
            <w:pPr>
              <w:autoSpaceDE w:val="0"/>
              <w:autoSpaceDN w:val="0"/>
              <w:adjustRightInd w:val="0"/>
              <w:jc w:val="center"/>
              <w:rPr>
                <w:rFonts w:cs="Arial"/>
                <w:sz w:val="22"/>
                <w:szCs w:val="22"/>
                <w:lang w:eastAsia="en-GB"/>
              </w:rPr>
            </w:pPr>
            <w:r w:rsidRPr="00395E75">
              <w:rPr>
                <w:rFonts w:cs="Arial"/>
                <w:sz w:val="22"/>
                <w:szCs w:val="22"/>
                <w:lang w:eastAsia="en-GB"/>
              </w:rPr>
              <w:t>22</w:t>
            </w:r>
          </w:p>
        </w:tc>
        <w:tc>
          <w:tcPr>
            <w:tcW w:w="1843" w:type="dxa"/>
            <w:shd w:val="clear" w:color="auto" w:fill="auto"/>
          </w:tcPr>
          <w:p w14:paraId="7E28BE80" w14:textId="77777777" w:rsidR="00C15A06" w:rsidRPr="00395E75" w:rsidRDefault="00385846" w:rsidP="0009551B">
            <w:pPr>
              <w:autoSpaceDE w:val="0"/>
              <w:autoSpaceDN w:val="0"/>
              <w:adjustRightInd w:val="0"/>
              <w:jc w:val="center"/>
              <w:rPr>
                <w:rFonts w:cs="Arial"/>
                <w:sz w:val="22"/>
                <w:lang w:eastAsia="en-GB"/>
              </w:rPr>
            </w:pPr>
            <w:r>
              <w:rPr>
                <w:rFonts w:cs="Arial"/>
                <w:sz w:val="22"/>
                <w:lang w:eastAsia="en-GB"/>
              </w:rPr>
              <w:t>16</w:t>
            </w:r>
          </w:p>
        </w:tc>
        <w:tc>
          <w:tcPr>
            <w:tcW w:w="2693" w:type="dxa"/>
          </w:tcPr>
          <w:p w14:paraId="7C21275D" w14:textId="77777777" w:rsidR="008B0EC1" w:rsidRPr="00395E75" w:rsidRDefault="00385846" w:rsidP="00385846">
            <w:pPr>
              <w:autoSpaceDE w:val="0"/>
              <w:autoSpaceDN w:val="0"/>
              <w:adjustRightInd w:val="0"/>
              <w:rPr>
                <w:rFonts w:cs="Arial"/>
                <w:sz w:val="22"/>
                <w:lang w:eastAsia="en-GB"/>
              </w:rPr>
            </w:pPr>
            <w:r w:rsidRPr="00385846">
              <w:rPr>
                <w:rFonts w:cs="Arial"/>
                <w:sz w:val="22"/>
                <w:lang w:eastAsia="en-GB"/>
              </w:rPr>
              <w:t>13 applications for housing cancelled and 3 properties recovered.</w:t>
            </w:r>
            <w:r w:rsidR="00075935">
              <w:rPr>
                <w:rFonts w:cs="Arial"/>
                <w:sz w:val="22"/>
                <w:lang w:eastAsia="en-GB"/>
              </w:rPr>
              <w:t xml:space="preserve"> </w:t>
            </w:r>
            <w:r>
              <w:rPr>
                <w:rFonts w:cs="Arial"/>
                <w:sz w:val="22"/>
                <w:lang w:eastAsia="en-GB"/>
              </w:rPr>
              <w:t xml:space="preserve">The pandemic prevented visiting and other activities connected to this area of work. There was also a moratorium on evictions during the period which affected this target. </w:t>
            </w:r>
          </w:p>
        </w:tc>
      </w:tr>
      <w:tr w:rsidR="00C15A06" w:rsidRPr="002A332E" w14:paraId="5200ECC1" w14:textId="77777777" w:rsidTr="00005B98">
        <w:tc>
          <w:tcPr>
            <w:tcW w:w="1843" w:type="dxa"/>
            <w:shd w:val="clear" w:color="auto" w:fill="auto"/>
          </w:tcPr>
          <w:p w14:paraId="7929119B" w14:textId="77777777" w:rsidR="00C15A06" w:rsidRPr="00395E75" w:rsidRDefault="00C15A06" w:rsidP="00C309D1">
            <w:pPr>
              <w:autoSpaceDE w:val="0"/>
              <w:autoSpaceDN w:val="0"/>
              <w:adjustRightInd w:val="0"/>
              <w:rPr>
                <w:rFonts w:cs="Arial"/>
                <w:sz w:val="22"/>
                <w:szCs w:val="22"/>
                <w:lang w:eastAsia="en-GB"/>
              </w:rPr>
            </w:pPr>
            <w:r w:rsidRPr="00395E75">
              <w:rPr>
                <w:bCs/>
                <w:sz w:val="22"/>
                <w:szCs w:val="22"/>
              </w:rPr>
              <w:t>Achieve cost neutrality from identification of revenue through investigation activity</w:t>
            </w:r>
          </w:p>
        </w:tc>
        <w:tc>
          <w:tcPr>
            <w:tcW w:w="2126" w:type="dxa"/>
          </w:tcPr>
          <w:p w14:paraId="379568C9" w14:textId="77777777" w:rsidR="00C15A06" w:rsidRPr="00395E75" w:rsidRDefault="00C15A06" w:rsidP="006619B7">
            <w:pPr>
              <w:autoSpaceDE w:val="0"/>
              <w:autoSpaceDN w:val="0"/>
              <w:adjustRightInd w:val="0"/>
              <w:jc w:val="center"/>
              <w:rPr>
                <w:rFonts w:cs="Arial"/>
                <w:sz w:val="22"/>
                <w:szCs w:val="22"/>
                <w:lang w:eastAsia="en-GB"/>
              </w:rPr>
            </w:pPr>
            <w:r w:rsidRPr="00395E75">
              <w:rPr>
                <w:rFonts w:cs="Arial"/>
                <w:sz w:val="22"/>
                <w:szCs w:val="22"/>
                <w:lang w:eastAsia="en-GB"/>
              </w:rPr>
              <w:t>£550,000</w:t>
            </w:r>
          </w:p>
        </w:tc>
        <w:tc>
          <w:tcPr>
            <w:tcW w:w="1843" w:type="dxa"/>
            <w:shd w:val="clear" w:color="auto" w:fill="auto"/>
          </w:tcPr>
          <w:p w14:paraId="79E1BC0F" w14:textId="77777777" w:rsidR="00C15A06" w:rsidRPr="00395E75" w:rsidRDefault="008B0EC1" w:rsidP="00072CA7">
            <w:pPr>
              <w:autoSpaceDE w:val="0"/>
              <w:autoSpaceDN w:val="0"/>
              <w:adjustRightInd w:val="0"/>
              <w:ind w:left="34"/>
              <w:jc w:val="center"/>
              <w:rPr>
                <w:rFonts w:cs="Arial"/>
                <w:sz w:val="22"/>
                <w:lang w:eastAsia="en-GB"/>
              </w:rPr>
            </w:pPr>
            <w:r>
              <w:rPr>
                <w:rFonts w:cs="Arial"/>
                <w:sz w:val="22"/>
                <w:lang w:eastAsia="en-GB"/>
              </w:rPr>
              <w:t>£</w:t>
            </w:r>
            <w:r w:rsidR="000F0F61">
              <w:rPr>
                <w:rFonts w:cs="Arial"/>
                <w:sz w:val="22"/>
                <w:lang w:eastAsia="en-GB"/>
              </w:rPr>
              <w:t>7</w:t>
            </w:r>
            <w:r w:rsidR="00072CA7">
              <w:rPr>
                <w:rFonts w:cs="Arial"/>
                <w:sz w:val="22"/>
                <w:lang w:eastAsia="en-GB"/>
              </w:rPr>
              <w:t>25</w:t>
            </w:r>
            <w:r w:rsidR="000F0F61">
              <w:rPr>
                <w:rFonts w:cs="Arial"/>
                <w:sz w:val="22"/>
                <w:lang w:eastAsia="en-GB"/>
              </w:rPr>
              <w:t>,</w:t>
            </w:r>
            <w:r w:rsidR="00072CA7">
              <w:rPr>
                <w:rFonts w:cs="Arial"/>
                <w:sz w:val="22"/>
                <w:lang w:eastAsia="en-GB"/>
              </w:rPr>
              <w:t>954</w:t>
            </w:r>
          </w:p>
        </w:tc>
        <w:tc>
          <w:tcPr>
            <w:tcW w:w="2693" w:type="dxa"/>
          </w:tcPr>
          <w:p w14:paraId="63F891DE" w14:textId="77777777" w:rsidR="00C15A06" w:rsidRPr="00395E75" w:rsidRDefault="00C15A06" w:rsidP="008B0EC1">
            <w:pPr>
              <w:autoSpaceDE w:val="0"/>
              <w:autoSpaceDN w:val="0"/>
              <w:adjustRightInd w:val="0"/>
              <w:rPr>
                <w:rFonts w:cs="Arial"/>
                <w:sz w:val="22"/>
                <w:lang w:eastAsia="en-GB"/>
              </w:rPr>
            </w:pPr>
            <w:r w:rsidRPr="00395E75">
              <w:rPr>
                <w:rFonts w:cs="Arial"/>
                <w:sz w:val="22"/>
                <w:lang w:eastAsia="en-GB"/>
              </w:rPr>
              <w:t xml:space="preserve">See Table 2 for breakdown </w:t>
            </w:r>
          </w:p>
        </w:tc>
      </w:tr>
      <w:tr w:rsidR="00C15A06" w:rsidRPr="002A332E" w14:paraId="7ADA2E2F" w14:textId="77777777" w:rsidTr="00C47BDB">
        <w:tc>
          <w:tcPr>
            <w:tcW w:w="1843" w:type="dxa"/>
            <w:shd w:val="clear" w:color="auto" w:fill="auto"/>
          </w:tcPr>
          <w:p w14:paraId="088792AA" w14:textId="77777777" w:rsidR="00C15A06" w:rsidRPr="00395E75" w:rsidRDefault="00C15A06" w:rsidP="00293121">
            <w:pPr>
              <w:autoSpaceDE w:val="0"/>
              <w:autoSpaceDN w:val="0"/>
              <w:adjustRightInd w:val="0"/>
              <w:rPr>
                <w:bCs/>
                <w:sz w:val="22"/>
                <w:szCs w:val="22"/>
              </w:rPr>
            </w:pPr>
            <w:r w:rsidRPr="00395E75">
              <w:rPr>
                <w:bCs/>
                <w:sz w:val="22"/>
                <w:szCs w:val="22"/>
              </w:rPr>
              <w:t>Prevent financial losses to the Council through investigation activity</w:t>
            </w:r>
          </w:p>
        </w:tc>
        <w:tc>
          <w:tcPr>
            <w:tcW w:w="2126" w:type="dxa"/>
          </w:tcPr>
          <w:p w14:paraId="54124279" w14:textId="77777777" w:rsidR="00C15A06" w:rsidRPr="00395E75" w:rsidRDefault="00C15A06" w:rsidP="006619B7">
            <w:pPr>
              <w:autoSpaceDE w:val="0"/>
              <w:autoSpaceDN w:val="0"/>
              <w:adjustRightInd w:val="0"/>
              <w:jc w:val="center"/>
              <w:rPr>
                <w:rFonts w:cs="Arial"/>
                <w:sz w:val="22"/>
                <w:szCs w:val="22"/>
                <w:lang w:eastAsia="en-GB"/>
              </w:rPr>
            </w:pPr>
            <w:r w:rsidRPr="00395E75">
              <w:rPr>
                <w:rFonts w:cs="Arial"/>
                <w:sz w:val="22"/>
                <w:szCs w:val="22"/>
                <w:lang w:eastAsia="en-GB"/>
              </w:rPr>
              <w:t>£2,000,000</w:t>
            </w:r>
          </w:p>
        </w:tc>
        <w:tc>
          <w:tcPr>
            <w:tcW w:w="1843" w:type="dxa"/>
            <w:shd w:val="clear" w:color="auto" w:fill="auto"/>
          </w:tcPr>
          <w:p w14:paraId="5B8CF712" w14:textId="77777777" w:rsidR="00C15A06" w:rsidRPr="00395E75" w:rsidRDefault="008B0EC1" w:rsidP="00014C21">
            <w:pPr>
              <w:autoSpaceDE w:val="0"/>
              <w:autoSpaceDN w:val="0"/>
              <w:adjustRightInd w:val="0"/>
              <w:ind w:left="-15" w:hanging="89"/>
              <w:jc w:val="center"/>
              <w:rPr>
                <w:rFonts w:cs="Arial"/>
                <w:sz w:val="22"/>
                <w:lang w:eastAsia="en-GB"/>
              </w:rPr>
            </w:pPr>
            <w:r>
              <w:rPr>
                <w:rFonts w:cs="Arial"/>
                <w:sz w:val="22"/>
                <w:lang w:eastAsia="en-GB"/>
              </w:rPr>
              <w:t>£</w:t>
            </w:r>
            <w:r w:rsidR="00014C21">
              <w:rPr>
                <w:rFonts w:cs="Arial"/>
                <w:sz w:val="22"/>
                <w:lang w:eastAsia="en-GB"/>
              </w:rPr>
              <w:t>8</w:t>
            </w:r>
            <w:r>
              <w:rPr>
                <w:rFonts w:cs="Arial"/>
                <w:sz w:val="22"/>
                <w:lang w:eastAsia="en-GB"/>
              </w:rPr>
              <w:t>,</w:t>
            </w:r>
            <w:r w:rsidR="00014C21">
              <w:rPr>
                <w:rFonts w:cs="Arial"/>
                <w:sz w:val="22"/>
                <w:lang w:eastAsia="en-GB"/>
              </w:rPr>
              <w:t>735</w:t>
            </w:r>
            <w:r w:rsidR="004D0250">
              <w:rPr>
                <w:rFonts w:cs="Arial"/>
                <w:sz w:val="22"/>
                <w:lang w:eastAsia="en-GB"/>
              </w:rPr>
              <w:t>,</w:t>
            </w:r>
            <w:r w:rsidR="00014C21">
              <w:rPr>
                <w:rFonts w:cs="Arial"/>
                <w:sz w:val="22"/>
                <w:lang w:eastAsia="en-GB"/>
              </w:rPr>
              <w:t>225</w:t>
            </w:r>
          </w:p>
        </w:tc>
        <w:tc>
          <w:tcPr>
            <w:tcW w:w="2693" w:type="dxa"/>
          </w:tcPr>
          <w:p w14:paraId="49EF4295" w14:textId="77777777" w:rsidR="00C15A06" w:rsidRPr="00395E75" w:rsidRDefault="00C15A06" w:rsidP="00014C21">
            <w:pPr>
              <w:autoSpaceDE w:val="0"/>
              <w:autoSpaceDN w:val="0"/>
              <w:adjustRightInd w:val="0"/>
              <w:rPr>
                <w:rFonts w:cs="Arial"/>
                <w:sz w:val="22"/>
                <w:lang w:eastAsia="en-GB"/>
              </w:rPr>
            </w:pPr>
            <w:r w:rsidRPr="00395E75">
              <w:rPr>
                <w:rFonts w:cs="Arial"/>
                <w:sz w:val="22"/>
                <w:lang w:eastAsia="en-GB"/>
              </w:rPr>
              <w:t xml:space="preserve">See Table 2 for breakdown- </w:t>
            </w:r>
            <w:r w:rsidR="00014C21">
              <w:rPr>
                <w:rFonts w:cs="Arial"/>
                <w:sz w:val="22"/>
                <w:lang w:eastAsia="en-GB"/>
              </w:rPr>
              <w:t>437</w:t>
            </w:r>
            <w:r w:rsidRPr="00395E75">
              <w:rPr>
                <w:rFonts w:cs="Arial"/>
                <w:sz w:val="22"/>
                <w:lang w:eastAsia="en-GB"/>
              </w:rPr>
              <w:t>% of target achieved</w:t>
            </w:r>
          </w:p>
        </w:tc>
      </w:tr>
      <w:tr w:rsidR="00C15A06" w:rsidRPr="002A332E" w14:paraId="12A66748" w14:textId="77777777" w:rsidTr="00875AE3">
        <w:tc>
          <w:tcPr>
            <w:tcW w:w="1843" w:type="dxa"/>
            <w:shd w:val="clear" w:color="auto" w:fill="auto"/>
          </w:tcPr>
          <w:p w14:paraId="1F2ABC09" w14:textId="77777777" w:rsidR="00C15A06" w:rsidRPr="00395E75" w:rsidRDefault="00C15A06" w:rsidP="007E51E2">
            <w:pPr>
              <w:autoSpaceDE w:val="0"/>
              <w:autoSpaceDN w:val="0"/>
              <w:adjustRightInd w:val="0"/>
              <w:rPr>
                <w:bCs/>
                <w:sz w:val="22"/>
                <w:szCs w:val="22"/>
              </w:rPr>
            </w:pPr>
            <w:r w:rsidRPr="00395E75">
              <w:rPr>
                <w:bCs/>
                <w:sz w:val="22"/>
                <w:szCs w:val="22"/>
              </w:rPr>
              <w:t>Right to Buy Applications prevented (false or irregular)</w:t>
            </w:r>
          </w:p>
        </w:tc>
        <w:tc>
          <w:tcPr>
            <w:tcW w:w="2126" w:type="dxa"/>
          </w:tcPr>
          <w:p w14:paraId="457C5B98" w14:textId="77777777" w:rsidR="00C15A06" w:rsidRPr="00395E75" w:rsidRDefault="00C15A06" w:rsidP="00293121">
            <w:pPr>
              <w:autoSpaceDE w:val="0"/>
              <w:autoSpaceDN w:val="0"/>
              <w:adjustRightInd w:val="0"/>
              <w:jc w:val="center"/>
              <w:rPr>
                <w:rFonts w:cs="Arial"/>
                <w:sz w:val="22"/>
                <w:szCs w:val="22"/>
                <w:lang w:eastAsia="en-GB"/>
              </w:rPr>
            </w:pPr>
            <w:r w:rsidRPr="00395E75">
              <w:rPr>
                <w:rFonts w:cs="Arial"/>
                <w:sz w:val="22"/>
                <w:szCs w:val="22"/>
                <w:lang w:eastAsia="en-GB"/>
              </w:rPr>
              <w:t>20% of applications received</w:t>
            </w:r>
          </w:p>
        </w:tc>
        <w:tc>
          <w:tcPr>
            <w:tcW w:w="1843" w:type="dxa"/>
            <w:shd w:val="clear" w:color="auto" w:fill="auto"/>
          </w:tcPr>
          <w:p w14:paraId="4ED2A425" w14:textId="77777777" w:rsidR="00C15A06" w:rsidRPr="00395E75" w:rsidRDefault="00014C21" w:rsidP="0009551B">
            <w:pPr>
              <w:autoSpaceDE w:val="0"/>
              <w:autoSpaceDN w:val="0"/>
              <w:adjustRightInd w:val="0"/>
              <w:ind w:left="-15" w:hanging="89"/>
              <w:jc w:val="center"/>
              <w:rPr>
                <w:rFonts w:cs="Arial"/>
                <w:sz w:val="22"/>
                <w:lang w:eastAsia="en-GB"/>
              </w:rPr>
            </w:pPr>
            <w:r>
              <w:rPr>
                <w:rFonts w:cs="Arial"/>
                <w:sz w:val="22"/>
                <w:lang w:eastAsia="en-GB"/>
              </w:rPr>
              <w:t>24</w:t>
            </w:r>
            <w:r w:rsidR="008B0EC1">
              <w:rPr>
                <w:rFonts w:cs="Arial"/>
                <w:sz w:val="22"/>
                <w:lang w:eastAsia="en-GB"/>
              </w:rPr>
              <w:t>%</w:t>
            </w:r>
          </w:p>
        </w:tc>
        <w:tc>
          <w:tcPr>
            <w:tcW w:w="2693" w:type="dxa"/>
          </w:tcPr>
          <w:p w14:paraId="01EFF5B0" w14:textId="77777777" w:rsidR="00C15A06" w:rsidRPr="00395E75" w:rsidRDefault="00014C21" w:rsidP="00FE366A">
            <w:pPr>
              <w:autoSpaceDE w:val="0"/>
              <w:autoSpaceDN w:val="0"/>
              <w:adjustRightInd w:val="0"/>
              <w:rPr>
                <w:rFonts w:cs="Arial"/>
                <w:sz w:val="22"/>
                <w:lang w:eastAsia="en-GB"/>
              </w:rPr>
            </w:pPr>
            <w:r>
              <w:rPr>
                <w:rFonts w:cs="Arial"/>
                <w:sz w:val="22"/>
                <w:lang w:eastAsia="en-GB"/>
              </w:rPr>
              <w:t>20</w:t>
            </w:r>
            <w:r w:rsidR="008B0EC1">
              <w:rPr>
                <w:rFonts w:cs="Arial"/>
                <w:sz w:val="22"/>
                <w:lang w:eastAsia="en-GB"/>
              </w:rPr>
              <w:t xml:space="preserve"> applications prevented of </w:t>
            </w:r>
            <w:r>
              <w:rPr>
                <w:rFonts w:cs="Arial"/>
                <w:sz w:val="22"/>
                <w:lang w:eastAsia="en-GB"/>
              </w:rPr>
              <w:t>8</w:t>
            </w:r>
            <w:r w:rsidR="008B0EC1">
              <w:rPr>
                <w:rFonts w:cs="Arial"/>
                <w:sz w:val="22"/>
                <w:lang w:eastAsia="en-GB"/>
              </w:rPr>
              <w:t>2</w:t>
            </w:r>
            <w:r w:rsidR="00C15A06" w:rsidRPr="00395E75">
              <w:rPr>
                <w:rFonts w:cs="Arial"/>
                <w:sz w:val="22"/>
                <w:lang w:eastAsia="en-GB"/>
              </w:rPr>
              <w:t xml:space="preserve"> received in the period</w:t>
            </w:r>
          </w:p>
          <w:p w14:paraId="6DB11709" w14:textId="77777777" w:rsidR="00C15A06" w:rsidRPr="00395E75" w:rsidRDefault="00C15A06" w:rsidP="00FE366A">
            <w:pPr>
              <w:autoSpaceDE w:val="0"/>
              <w:autoSpaceDN w:val="0"/>
              <w:adjustRightInd w:val="0"/>
              <w:rPr>
                <w:rFonts w:cs="Arial"/>
                <w:sz w:val="22"/>
                <w:lang w:eastAsia="en-GB"/>
              </w:rPr>
            </w:pPr>
          </w:p>
          <w:p w14:paraId="3DCD93A8" w14:textId="77777777" w:rsidR="00C15A06" w:rsidRPr="00395E75" w:rsidRDefault="00C15A06" w:rsidP="00FE366A">
            <w:pPr>
              <w:autoSpaceDE w:val="0"/>
              <w:autoSpaceDN w:val="0"/>
              <w:adjustRightInd w:val="0"/>
              <w:rPr>
                <w:rFonts w:cs="Arial"/>
                <w:sz w:val="22"/>
                <w:lang w:eastAsia="en-GB"/>
              </w:rPr>
            </w:pPr>
          </w:p>
        </w:tc>
      </w:tr>
      <w:tr w:rsidR="00C15A06" w:rsidRPr="002A332E" w14:paraId="169B9078" w14:textId="77777777" w:rsidTr="00FB2B71">
        <w:tc>
          <w:tcPr>
            <w:tcW w:w="1843" w:type="dxa"/>
            <w:shd w:val="clear" w:color="auto" w:fill="auto"/>
          </w:tcPr>
          <w:p w14:paraId="14D4E111" w14:textId="77777777" w:rsidR="00C15A06" w:rsidRPr="00395E75" w:rsidRDefault="00C15A06" w:rsidP="007E51E2">
            <w:pPr>
              <w:autoSpaceDE w:val="0"/>
              <w:autoSpaceDN w:val="0"/>
              <w:adjustRightInd w:val="0"/>
              <w:rPr>
                <w:bCs/>
                <w:sz w:val="22"/>
                <w:szCs w:val="22"/>
              </w:rPr>
            </w:pPr>
            <w:r w:rsidRPr="00395E75">
              <w:rPr>
                <w:bCs/>
                <w:sz w:val="22"/>
                <w:szCs w:val="22"/>
              </w:rPr>
              <w:t>Trading Income from commercial activity</w:t>
            </w:r>
          </w:p>
        </w:tc>
        <w:tc>
          <w:tcPr>
            <w:tcW w:w="2126" w:type="dxa"/>
          </w:tcPr>
          <w:p w14:paraId="45CB0D96" w14:textId="5AE0D788" w:rsidR="00C15A06" w:rsidRPr="00395E75" w:rsidRDefault="00C15A06" w:rsidP="00F95354">
            <w:pPr>
              <w:autoSpaceDE w:val="0"/>
              <w:autoSpaceDN w:val="0"/>
              <w:adjustRightInd w:val="0"/>
              <w:jc w:val="center"/>
              <w:rPr>
                <w:rFonts w:cs="Arial"/>
                <w:sz w:val="22"/>
                <w:szCs w:val="22"/>
                <w:lang w:eastAsia="en-GB"/>
              </w:rPr>
            </w:pPr>
            <w:r w:rsidRPr="00395E75">
              <w:rPr>
                <w:rFonts w:cs="Arial"/>
                <w:sz w:val="22"/>
                <w:szCs w:val="22"/>
                <w:lang w:eastAsia="en-GB"/>
              </w:rPr>
              <w:t>£</w:t>
            </w:r>
            <w:r w:rsidR="00F95354">
              <w:rPr>
                <w:rFonts w:cs="Arial"/>
                <w:sz w:val="22"/>
                <w:szCs w:val="22"/>
                <w:lang w:eastAsia="en-GB"/>
              </w:rPr>
              <w:t>300</w:t>
            </w:r>
            <w:r w:rsidRPr="00395E75">
              <w:rPr>
                <w:rFonts w:cs="Arial"/>
                <w:sz w:val="22"/>
                <w:szCs w:val="22"/>
                <w:lang w:eastAsia="en-GB"/>
              </w:rPr>
              <w:t>,000</w:t>
            </w:r>
          </w:p>
        </w:tc>
        <w:tc>
          <w:tcPr>
            <w:tcW w:w="1843" w:type="dxa"/>
            <w:shd w:val="clear" w:color="auto" w:fill="auto"/>
          </w:tcPr>
          <w:p w14:paraId="19D5071D" w14:textId="77777777" w:rsidR="00C15A06" w:rsidRPr="00395E75" w:rsidRDefault="008B0EC1" w:rsidP="00014C21">
            <w:pPr>
              <w:autoSpaceDE w:val="0"/>
              <w:autoSpaceDN w:val="0"/>
              <w:adjustRightInd w:val="0"/>
              <w:ind w:left="-15" w:hanging="89"/>
              <w:jc w:val="center"/>
              <w:rPr>
                <w:rFonts w:cs="Arial"/>
                <w:sz w:val="22"/>
                <w:lang w:eastAsia="en-GB"/>
              </w:rPr>
            </w:pPr>
            <w:r>
              <w:rPr>
                <w:rFonts w:cs="Arial"/>
                <w:sz w:val="22"/>
                <w:lang w:eastAsia="en-GB"/>
              </w:rPr>
              <w:t>£</w:t>
            </w:r>
            <w:r w:rsidR="00014C21">
              <w:rPr>
                <w:rFonts w:cs="Arial"/>
                <w:sz w:val="22"/>
                <w:lang w:eastAsia="en-GB"/>
              </w:rPr>
              <w:t>268,523</w:t>
            </w:r>
          </w:p>
        </w:tc>
        <w:tc>
          <w:tcPr>
            <w:tcW w:w="2693" w:type="dxa"/>
          </w:tcPr>
          <w:p w14:paraId="3111E56F" w14:textId="145D500D" w:rsidR="00C15A06" w:rsidRPr="00395E75" w:rsidRDefault="00F95354" w:rsidP="00FE366A">
            <w:pPr>
              <w:autoSpaceDE w:val="0"/>
              <w:autoSpaceDN w:val="0"/>
              <w:adjustRightInd w:val="0"/>
              <w:rPr>
                <w:rFonts w:cs="Arial"/>
                <w:sz w:val="22"/>
                <w:lang w:eastAsia="en-GB"/>
              </w:rPr>
            </w:pPr>
            <w:r>
              <w:rPr>
                <w:rFonts w:cs="Arial"/>
                <w:sz w:val="22"/>
                <w:lang w:eastAsia="en-GB"/>
              </w:rPr>
              <w:t>Business development activity was adversely affected by the pandemic</w:t>
            </w:r>
            <w:r w:rsidR="00232973">
              <w:rPr>
                <w:rFonts w:cs="Arial"/>
                <w:sz w:val="22"/>
                <w:lang w:eastAsia="en-GB"/>
              </w:rPr>
              <w:t xml:space="preserve"> &amp; resources were monopolised by the </w:t>
            </w:r>
            <w:proofErr w:type="spellStart"/>
            <w:r w:rsidR="00232973">
              <w:rPr>
                <w:rFonts w:cs="Arial"/>
                <w:sz w:val="22"/>
                <w:lang w:eastAsia="en-GB"/>
              </w:rPr>
              <w:t>Covid</w:t>
            </w:r>
            <w:proofErr w:type="spellEnd"/>
            <w:r w:rsidR="00232973">
              <w:rPr>
                <w:rFonts w:cs="Arial"/>
                <w:sz w:val="22"/>
                <w:lang w:eastAsia="en-GB"/>
              </w:rPr>
              <w:t xml:space="preserve"> Business Grants schemes</w:t>
            </w:r>
          </w:p>
        </w:tc>
      </w:tr>
    </w:tbl>
    <w:p w14:paraId="69020776" w14:textId="77777777" w:rsidR="00036F46" w:rsidRDefault="00036F46" w:rsidP="00036F46">
      <w:pPr>
        <w:rPr>
          <w:rFonts w:cs="Arial"/>
        </w:rPr>
      </w:pPr>
    </w:p>
    <w:p w14:paraId="0DE518BB" w14:textId="77777777" w:rsidR="00AB4D1C" w:rsidRDefault="00AB4D1C" w:rsidP="00036F46">
      <w:pPr>
        <w:rPr>
          <w:rFonts w:cs="Arial"/>
        </w:rPr>
      </w:pPr>
    </w:p>
    <w:p w14:paraId="28F26FC3" w14:textId="77777777" w:rsidR="009C38D4" w:rsidRDefault="009C38D4" w:rsidP="00036F46">
      <w:pPr>
        <w:rPr>
          <w:rFonts w:cs="Arial"/>
        </w:rPr>
      </w:pPr>
    </w:p>
    <w:p w14:paraId="77B65DA9" w14:textId="77777777" w:rsidR="007F2AD3" w:rsidRDefault="007F2AD3" w:rsidP="00D637B1">
      <w:pPr>
        <w:ind w:left="270"/>
        <w:rPr>
          <w:rFonts w:cs="Arial"/>
        </w:rPr>
      </w:pPr>
    </w:p>
    <w:p w14:paraId="2A3403B9" w14:textId="77777777" w:rsidR="002513A0" w:rsidRPr="00A314C9" w:rsidRDefault="001C2BEE" w:rsidP="00B255A6">
      <w:pPr>
        <w:pStyle w:val="ListParagraph"/>
        <w:numPr>
          <w:ilvl w:val="0"/>
          <w:numId w:val="1"/>
        </w:numPr>
        <w:rPr>
          <w:rFonts w:cs="Arial"/>
        </w:rPr>
      </w:pPr>
      <w:r>
        <w:rPr>
          <w:rFonts w:cs="Arial"/>
        </w:rPr>
        <w:lastRenderedPageBreak/>
        <w:t>T</w:t>
      </w:r>
      <w:r w:rsidR="00A314C9">
        <w:rPr>
          <w:rFonts w:cs="Arial"/>
        </w:rPr>
        <w:t xml:space="preserve">able </w:t>
      </w:r>
      <w:r>
        <w:rPr>
          <w:rFonts w:cs="Arial"/>
        </w:rPr>
        <w:t xml:space="preserve">2 </w:t>
      </w:r>
      <w:r w:rsidR="00A314C9">
        <w:rPr>
          <w:rFonts w:cs="Arial"/>
        </w:rPr>
        <w:t xml:space="preserve">below </w:t>
      </w:r>
      <w:r>
        <w:rPr>
          <w:rFonts w:cs="Arial"/>
        </w:rPr>
        <w:t xml:space="preserve">provides </w:t>
      </w:r>
      <w:r w:rsidR="0060790A">
        <w:rPr>
          <w:rFonts w:cs="Arial"/>
        </w:rPr>
        <w:t>a breakdown</w:t>
      </w:r>
      <w:r>
        <w:rPr>
          <w:rFonts w:cs="Arial"/>
        </w:rPr>
        <w:t xml:space="preserve"> of the </w:t>
      </w:r>
      <w:r w:rsidR="00775048">
        <w:rPr>
          <w:rFonts w:cs="Arial"/>
        </w:rPr>
        <w:t>income recovered</w:t>
      </w:r>
      <w:r w:rsidR="0060790A">
        <w:rPr>
          <w:rFonts w:cs="Arial"/>
        </w:rPr>
        <w:t xml:space="preserve"> or generated,</w:t>
      </w:r>
      <w:r w:rsidR="00775048">
        <w:rPr>
          <w:rFonts w:cs="Arial"/>
        </w:rPr>
        <w:t xml:space="preserve"> and loss</w:t>
      </w:r>
      <w:r w:rsidR="0060790A">
        <w:rPr>
          <w:rFonts w:cs="Arial"/>
        </w:rPr>
        <w:t xml:space="preserve">es prevented </w:t>
      </w:r>
      <w:r w:rsidR="00775048">
        <w:rPr>
          <w:rFonts w:cs="Arial"/>
        </w:rPr>
        <w:t>by the Team</w:t>
      </w:r>
      <w:r w:rsidR="001878F4">
        <w:rPr>
          <w:rFonts w:cs="Arial"/>
        </w:rPr>
        <w:t>.</w:t>
      </w:r>
    </w:p>
    <w:p w14:paraId="287F9644" w14:textId="77777777" w:rsidR="00AA3834" w:rsidRDefault="00AA3834" w:rsidP="00C10750">
      <w:pPr>
        <w:rPr>
          <w:rFonts w:cs="Arial"/>
        </w:rPr>
      </w:pPr>
    </w:p>
    <w:tbl>
      <w:tblPr>
        <w:tblStyle w:val="TableGrid"/>
        <w:tblW w:w="0" w:type="auto"/>
        <w:tblLook w:val="04A0" w:firstRow="1" w:lastRow="0" w:firstColumn="1" w:lastColumn="0" w:noHBand="0" w:noVBand="1"/>
      </w:tblPr>
      <w:tblGrid>
        <w:gridCol w:w="2006"/>
        <w:gridCol w:w="1587"/>
        <w:gridCol w:w="1617"/>
        <w:gridCol w:w="3312"/>
      </w:tblGrid>
      <w:tr w:rsidR="006C3AED" w:rsidRPr="006C3AED" w14:paraId="44F2B929" w14:textId="77777777" w:rsidTr="00043176">
        <w:tc>
          <w:tcPr>
            <w:tcW w:w="8522" w:type="dxa"/>
            <w:gridSpan w:val="4"/>
            <w:shd w:val="clear" w:color="auto" w:fill="C6D9F1" w:themeFill="text2" w:themeFillTint="33"/>
          </w:tcPr>
          <w:p w14:paraId="41B4822C" w14:textId="77777777" w:rsidR="006C3AED" w:rsidRPr="006C3AED" w:rsidRDefault="006C3AED" w:rsidP="009B2DC1">
            <w:pPr>
              <w:rPr>
                <w:rFonts w:cs="Arial"/>
                <w:b/>
              </w:rPr>
            </w:pPr>
            <w:r>
              <w:rPr>
                <w:rFonts w:cs="Arial"/>
                <w:b/>
              </w:rPr>
              <w:t xml:space="preserve">Table 2 – </w:t>
            </w:r>
            <w:r w:rsidR="00547A3E">
              <w:rPr>
                <w:rFonts w:cs="Arial"/>
                <w:b/>
              </w:rPr>
              <w:t>Income generated and losses prevented f</w:t>
            </w:r>
            <w:r>
              <w:rPr>
                <w:rFonts w:cs="Arial"/>
                <w:b/>
              </w:rPr>
              <w:t>rom 01 April 20</w:t>
            </w:r>
            <w:r w:rsidR="009B2DC1">
              <w:rPr>
                <w:rFonts w:cs="Arial"/>
                <w:b/>
              </w:rPr>
              <w:t>20</w:t>
            </w:r>
            <w:r>
              <w:rPr>
                <w:rFonts w:cs="Arial"/>
                <w:b/>
              </w:rPr>
              <w:t xml:space="preserve"> to 3</w:t>
            </w:r>
            <w:r w:rsidR="00466414">
              <w:rPr>
                <w:rFonts w:cs="Arial"/>
                <w:b/>
              </w:rPr>
              <w:t>1 March 202</w:t>
            </w:r>
            <w:r w:rsidR="009B2DC1">
              <w:rPr>
                <w:rFonts w:cs="Arial"/>
                <w:b/>
              </w:rPr>
              <w:t>1</w:t>
            </w:r>
          </w:p>
        </w:tc>
      </w:tr>
      <w:tr w:rsidR="006C3AED" w:rsidRPr="006C3AED" w14:paraId="1BB880B2" w14:textId="77777777" w:rsidTr="00A1201F">
        <w:tc>
          <w:tcPr>
            <w:tcW w:w="2006" w:type="dxa"/>
            <w:shd w:val="clear" w:color="auto" w:fill="C6D9F1" w:themeFill="text2" w:themeFillTint="33"/>
          </w:tcPr>
          <w:p w14:paraId="2EB6384E" w14:textId="77777777" w:rsidR="006C3AED" w:rsidRPr="006C3AED" w:rsidRDefault="006C3AED" w:rsidP="006C3AED">
            <w:pPr>
              <w:rPr>
                <w:rFonts w:cs="Arial"/>
                <w:b/>
              </w:rPr>
            </w:pPr>
          </w:p>
        </w:tc>
        <w:tc>
          <w:tcPr>
            <w:tcW w:w="1587" w:type="dxa"/>
            <w:shd w:val="clear" w:color="auto" w:fill="C6D9F1" w:themeFill="text2" w:themeFillTint="33"/>
          </w:tcPr>
          <w:p w14:paraId="1F9ADD15" w14:textId="77777777" w:rsidR="006C3AED" w:rsidRPr="006C3AED" w:rsidRDefault="006C3AED" w:rsidP="006C3AED">
            <w:pPr>
              <w:rPr>
                <w:rFonts w:cs="Arial"/>
                <w:b/>
              </w:rPr>
            </w:pPr>
            <w:r w:rsidRPr="006C3AED">
              <w:rPr>
                <w:rFonts w:cs="Arial"/>
                <w:b/>
              </w:rPr>
              <w:t>Income</w:t>
            </w:r>
          </w:p>
        </w:tc>
        <w:tc>
          <w:tcPr>
            <w:tcW w:w="1617" w:type="dxa"/>
            <w:shd w:val="clear" w:color="auto" w:fill="C6D9F1" w:themeFill="text2" w:themeFillTint="33"/>
          </w:tcPr>
          <w:p w14:paraId="132032D1" w14:textId="77777777" w:rsidR="006C3AED" w:rsidRPr="006C3AED" w:rsidRDefault="006C3AED" w:rsidP="006C3AED">
            <w:pPr>
              <w:rPr>
                <w:rFonts w:cs="Arial"/>
                <w:b/>
              </w:rPr>
            </w:pPr>
            <w:r w:rsidRPr="006C3AED">
              <w:rPr>
                <w:rFonts w:cs="Arial"/>
                <w:b/>
              </w:rPr>
              <w:t>Loss</w:t>
            </w:r>
          </w:p>
        </w:tc>
        <w:tc>
          <w:tcPr>
            <w:tcW w:w="3312" w:type="dxa"/>
            <w:shd w:val="clear" w:color="auto" w:fill="C6D9F1" w:themeFill="text2" w:themeFillTint="33"/>
          </w:tcPr>
          <w:p w14:paraId="554A3AA4" w14:textId="77777777" w:rsidR="006C3AED" w:rsidRPr="006C3AED" w:rsidRDefault="006C3AED" w:rsidP="006C3AED">
            <w:pPr>
              <w:rPr>
                <w:rFonts w:cs="Arial"/>
                <w:b/>
              </w:rPr>
            </w:pPr>
          </w:p>
        </w:tc>
      </w:tr>
      <w:tr w:rsidR="006C3AED" w:rsidRPr="006C3AED" w14:paraId="1940F07A" w14:textId="77777777" w:rsidTr="00A1201F">
        <w:tc>
          <w:tcPr>
            <w:tcW w:w="2006" w:type="dxa"/>
            <w:shd w:val="clear" w:color="auto" w:fill="C6D9F1" w:themeFill="text2" w:themeFillTint="33"/>
          </w:tcPr>
          <w:p w14:paraId="102DDB59" w14:textId="77777777" w:rsidR="006C3AED" w:rsidRPr="006C3AED" w:rsidRDefault="006C3AED" w:rsidP="006C3AED">
            <w:pPr>
              <w:rPr>
                <w:rFonts w:cs="Arial"/>
                <w:b/>
              </w:rPr>
            </w:pPr>
          </w:p>
        </w:tc>
        <w:tc>
          <w:tcPr>
            <w:tcW w:w="1587" w:type="dxa"/>
            <w:shd w:val="clear" w:color="auto" w:fill="C6D9F1" w:themeFill="text2" w:themeFillTint="33"/>
          </w:tcPr>
          <w:p w14:paraId="4A449F07" w14:textId="77777777" w:rsidR="006C3AED" w:rsidRPr="006C3AED" w:rsidRDefault="006C3AED" w:rsidP="006C3AED">
            <w:pPr>
              <w:rPr>
                <w:rFonts w:cs="Arial"/>
                <w:b/>
              </w:rPr>
            </w:pPr>
            <w:r w:rsidRPr="006C3AED">
              <w:rPr>
                <w:rFonts w:cs="Arial"/>
                <w:b/>
              </w:rPr>
              <w:t>Generated</w:t>
            </w:r>
          </w:p>
        </w:tc>
        <w:tc>
          <w:tcPr>
            <w:tcW w:w="1617" w:type="dxa"/>
            <w:shd w:val="clear" w:color="auto" w:fill="C6D9F1" w:themeFill="text2" w:themeFillTint="33"/>
          </w:tcPr>
          <w:p w14:paraId="4595A423" w14:textId="77777777" w:rsidR="006C3AED" w:rsidRPr="006C3AED" w:rsidRDefault="006C3AED" w:rsidP="006C3AED">
            <w:pPr>
              <w:rPr>
                <w:rFonts w:cs="Arial"/>
                <w:b/>
              </w:rPr>
            </w:pPr>
            <w:r w:rsidRPr="006C3AED">
              <w:rPr>
                <w:rFonts w:cs="Arial"/>
                <w:b/>
              </w:rPr>
              <w:t>Avoidance</w:t>
            </w:r>
          </w:p>
        </w:tc>
        <w:tc>
          <w:tcPr>
            <w:tcW w:w="3312" w:type="dxa"/>
            <w:shd w:val="clear" w:color="auto" w:fill="C6D9F1" w:themeFill="text2" w:themeFillTint="33"/>
          </w:tcPr>
          <w:p w14:paraId="18C6AF54" w14:textId="77777777" w:rsidR="006C3AED" w:rsidRPr="006C3AED" w:rsidRDefault="006C3AED" w:rsidP="006C3AED">
            <w:pPr>
              <w:rPr>
                <w:rFonts w:cs="Arial"/>
                <w:b/>
              </w:rPr>
            </w:pPr>
            <w:r w:rsidRPr="006C3AED">
              <w:rPr>
                <w:rFonts w:cs="Arial"/>
                <w:b/>
              </w:rPr>
              <w:t>Comment</w:t>
            </w:r>
          </w:p>
        </w:tc>
      </w:tr>
      <w:tr w:rsidR="006C3AED" w:rsidRPr="006C3AED" w14:paraId="097971B9" w14:textId="77777777" w:rsidTr="00A1201F">
        <w:tc>
          <w:tcPr>
            <w:tcW w:w="2006" w:type="dxa"/>
          </w:tcPr>
          <w:p w14:paraId="6B562C51" w14:textId="77777777" w:rsidR="006C3AED" w:rsidRPr="006C3AED" w:rsidRDefault="006C3AED" w:rsidP="006C3AED">
            <w:pPr>
              <w:rPr>
                <w:rFonts w:cs="Arial"/>
                <w:b/>
              </w:rPr>
            </w:pPr>
          </w:p>
        </w:tc>
        <w:tc>
          <w:tcPr>
            <w:tcW w:w="1587" w:type="dxa"/>
          </w:tcPr>
          <w:p w14:paraId="63EF21E0" w14:textId="77777777" w:rsidR="006C3AED" w:rsidRPr="006C3AED" w:rsidRDefault="006C3AED" w:rsidP="00165940">
            <w:pPr>
              <w:jc w:val="center"/>
              <w:rPr>
                <w:rFonts w:cs="Arial"/>
                <w:b/>
              </w:rPr>
            </w:pPr>
            <w:r w:rsidRPr="006C3AED">
              <w:rPr>
                <w:rFonts w:cs="Arial"/>
                <w:b/>
              </w:rPr>
              <w:t>£</w:t>
            </w:r>
          </w:p>
        </w:tc>
        <w:tc>
          <w:tcPr>
            <w:tcW w:w="1617" w:type="dxa"/>
          </w:tcPr>
          <w:p w14:paraId="67F3715A" w14:textId="77777777" w:rsidR="006C3AED" w:rsidRPr="006C3AED" w:rsidRDefault="006C3AED" w:rsidP="00165940">
            <w:pPr>
              <w:jc w:val="center"/>
              <w:rPr>
                <w:rFonts w:cs="Arial"/>
                <w:b/>
              </w:rPr>
            </w:pPr>
            <w:r w:rsidRPr="006C3AED">
              <w:rPr>
                <w:rFonts w:cs="Arial"/>
                <w:b/>
              </w:rPr>
              <w:t>£</w:t>
            </w:r>
          </w:p>
        </w:tc>
        <w:tc>
          <w:tcPr>
            <w:tcW w:w="3312" w:type="dxa"/>
          </w:tcPr>
          <w:p w14:paraId="015087E1" w14:textId="77777777" w:rsidR="006C3AED" w:rsidRPr="006C3AED" w:rsidRDefault="006C3AED" w:rsidP="006C3AED">
            <w:pPr>
              <w:rPr>
                <w:rFonts w:cs="Arial"/>
                <w:b/>
              </w:rPr>
            </w:pPr>
          </w:p>
        </w:tc>
      </w:tr>
      <w:tr w:rsidR="006C3AED" w:rsidRPr="006C3AED" w14:paraId="6849C2B9" w14:textId="77777777" w:rsidTr="00A1201F">
        <w:tc>
          <w:tcPr>
            <w:tcW w:w="2006" w:type="dxa"/>
          </w:tcPr>
          <w:p w14:paraId="130C756B" w14:textId="77777777" w:rsidR="006C3AED" w:rsidRPr="006C3AED" w:rsidRDefault="006C3AED" w:rsidP="006C3AED">
            <w:pPr>
              <w:rPr>
                <w:rFonts w:cs="Arial"/>
              </w:rPr>
            </w:pPr>
            <w:r w:rsidRPr="006C3AED">
              <w:rPr>
                <w:rFonts w:cs="Arial"/>
              </w:rPr>
              <w:t>Council Tax Reduction Scheme</w:t>
            </w:r>
          </w:p>
        </w:tc>
        <w:tc>
          <w:tcPr>
            <w:tcW w:w="1587" w:type="dxa"/>
          </w:tcPr>
          <w:p w14:paraId="6001331E" w14:textId="77777777" w:rsidR="006C3AED" w:rsidRPr="006C3AED" w:rsidRDefault="00FC3AB3" w:rsidP="00072CA7">
            <w:pPr>
              <w:jc w:val="right"/>
              <w:rPr>
                <w:rFonts w:cs="Arial"/>
              </w:rPr>
            </w:pPr>
            <w:r>
              <w:rPr>
                <w:rFonts w:cs="Arial"/>
              </w:rPr>
              <w:t>3</w:t>
            </w:r>
            <w:r w:rsidR="009B2DC1">
              <w:rPr>
                <w:rFonts w:cs="Arial"/>
              </w:rPr>
              <w:t>2</w:t>
            </w:r>
            <w:r w:rsidR="00A1246E">
              <w:rPr>
                <w:rFonts w:cs="Arial"/>
              </w:rPr>
              <w:t>,</w:t>
            </w:r>
            <w:r>
              <w:rPr>
                <w:rFonts w:cs="Arial"/>
              </w:rPr>
              <w:t>006</w:t>
            </w:r>
          </w:p>
        </w:tc>
        <w:tc>
          <w:tcPr>
            <w:tcW w:w="1617" w:type="dxa"/>
          </w:tcPr>
          <w:p w14:paraId="2912F2A9" w14:textId="77777777" w:rsidR="006C3AED" w:rsidRPr="006C3AED" w:rsidRDefault="009B2DC1" w:rsidP="009B2DC1">
            <w:pPr>
              <w:jc w:val="right"/>
              <w:rPr>
                <w:rFonts w:cs="Arial"/>
              </w:rPr>
            </w:pPr>
            <w:r>
              <w:rPr>
                <w:rFonts w:cs="Arial"/>
              </w:rPr>
              <w:t>25</w:t>
            </w:r>
            <w:r w:rsidR="00A1246E">
              <w:rPr>
                <w:rFonts w:cs="Arial"/>
              </w:rPr>
              <w:t>,</w:t>
            </w:r>
            <w:r>
              <w:rPr>
                <w:rFonts w:cs="Arial"/>
              </w:rPr>
              <w:t>4</w:t>
            </w:r>
            <w:r w:rsidR="00DF7ECA">
              <w:rPr>
                <w:rFonts w:cs="Arial"/>
              </w:rPr>
              <w:t>80</w:t>
            </w:r>
          </w:p>
        </w:tc>
        <w:tc>
          <w:tcPr>
            <w:tcW w:w="3312" w:type="dxa"/>
          </w:tcPr>
          <w:p w14:paraId="56F3F6A4" w14:textId="77777777" w:rsidR="006C3AED" w:rsidRPr="006C3AED" w:rsidRDefault="006C3AED" w:rsidP="00165940">
            <w:pPr>
              <w:jc w:val="right"/>
              <w:rPr>
                <w:rFonts w:cs="Arial"/>
              </w:rPr>
            </w:pPr>
            <w:r w:rsidRPr="006C3AED">
              <w:rPr>
                <w:rFonts w:cs="Arial"/>
              </w:rPr>
              <w:t>The loss avoided is based on the revised Oxford model calculation of 104 weeks future entitlement.</w:t>
            </w:r>
          </w:p>
        </w:tc>
      </w:tr>
      <w:tr w:rsidR="006C3AED" w:rsidRPr="006C3AED" w14:paraId="28B9F3CF" w14:textId="77777777" w:rsidTr="00A1201F">
        <w:tc>
          <w:tcPr>
            <w:tcW w:w="2006" w:type="dxa"/>
          </w:tcPr>
          <w:p w14:paraId="70C0288B" w14:textId="77777777" w:rsidR="006C3AED" w:rsidRPr="006C3AED" w:rsidRDefault="006C3AED" w:rsidP="006C3AED">
            <w:pPr>
              <w:rPr>
                <w:rFonts w:cs="Arial"/>
              </w:rPr>
            </w:pPr>
            <w:r w:rsidRPr="006C3AED">
              <w:rPr>
                <w:rFonts w:cs="Arial"/>
              </w:rPr>
              <w:t xml:space="preserve">Housing Benefit </w:t>
            </w:r>
          </w:p>
        </w:tc>
        <w:tc>
          <w:tcPr>
            <w:tcW w:w="1587" w:type="dxa"/>
          </w:tcPr>
          <w:p w14:paraId="16E04792" w14:textId="77777777" w:rsidR="006C3AED" w:rsidRPr="006C3AED" w:rsidRDefault="009B2DC1" w:rsidP="00FC3AB3">
            <w:pPr>
              <w:jc w:val="right"/>
              <w:rPr>
                <w:rFonts w:cs="Arial"/>
              </w:rPr>
            </w:pPr>
            <w:r>
              <w:rPr>
                <w:rFonts w:cs="Arial"/>
              </w:rPr>
              <w:t>6</w:t>
            </w:r>
            <w:r w:rsidR="00FC3AB3">
              <w:rPr>
                <w:rFonts w:cs="Arial"/>
              </w:rPr>
              <w:t>3</w:t>
            </w:r>
            <w:r w:rsidR="00A1246E">
              <w:rPr>
                <w:rFonts w:cs="Arial"/>
              </w:rPr>
              <w:t>,</w:t>
            </w:r>
            <w:r w:rsidR="00FC3AB3">
              <w:rPr>
                <w:rFonts w:cs="Arial"/>
              </w:rPr>
              <w:t>194</w:t>
            </w:r>
          </w:p>
        </w:tc>
        <w:tc>
          <w:tcPr>
            <w:tcW w:w="1617" w:type="dxa"/>
          </w:tcPr>
          <w:p w14:paraId="3526753F" w14:textId="77777777" w:rsidR="006C3AED" w:rsidRPr="006C3AED" w:rsidRDefault="009B2DC1" w:rsidP="009B2DC1">
            <w:pPr>
              <w:jc w:val="right"/>
              <w:rPr>
                <w:rFonts w:cs="Arial"/>
              </w:rPr>
            </w:pPr>
            <w:r>
              <w:rPr>
                <w:rFonts w:cs="Arial"/>
              </w:rPr>
              <w:t>84</w:t>
            </w:r>
            <w:r w:rsidR="00A1246E">
              <w:rPr>
                <w:rFonts w:cs="Arial"/>
              </w:rPr>
              <w:t>,</w:t>
            </w:r>
            <w:r>
              <w:rPr>
                <w:rFonts w:cs="Arial"/>
              </w:rPr>
              <w:t>4</w:t>
            </w:r>
            <w:r w:rsidR="00A1246E">
              <w:rPr>
                <w:rFonts w:cs="Arial"/>
              </w:rPr>
              <w:t>2</w:t>
            </w:r>
            <w:r w:rsidR="00DF7ECA">
              <w:rPr>
                <w:rFonts w:cs="Arial"/>
              </w:rPr>
              <w:t>4</w:t>
            </w:r>
          </w:p>
        </w:tc>
        <w:tc>
          <w:tcPr>
            <w:tcW w:w="3312" w:type="dxa"/>
          </w:tcPr>
          <w:p w14:paraId="1F6CB71F" w14:textId="77777777" w:rsidR="006C3AED" w:rsidRPr="006C3AED" w:rsidRDefault="006C3AED" w:rsidP="00165940">
            <w:pPr>
              <w:jc w:val="right"/>
              <w:rPr>
                <w:rFonts w:cs="Arial"/>
              </w:rPr>
            </w:pPr>
            <w:r w:rsidRPr="006C3AED">
              <w:rPr>
                <w:rFonts w:cs="Arial"/>
              </w:rPr>
              <w:t>Although no longer tasked with investigating H</w:t>
            </w:r>
            <w:r>
              <w:rPr>
                <w:rFonts w:cs="Arial"/>
              </w:rPr>
              <w:t xml:space="preserve">ousing </w:t>
            </w:r>
            <w:r w:rsidRPr="006C3AED">
              <w:rPr>
                <w:rFonts w:cs="Arial"/>
              </w:rPr>
              <w:t>B</w:t>
            </w:r>
            <w:r>
              <w:rPr>
                <w:rFonts w:cs="Arial"/>
              </w:rPr>
              <w:t>enefit</w:t>
            </w:r>
            <w:r w:rsidRPr="006C3AED">
              <w:rPr>
                <w:rFonts w:cs="Arial"/>
              </w:rPr>
              <w:t>, these values are the by-product of tenancy fraud and C</w:t>
            </w:r>
            <w:r>
              <w:rPr>
                <w:rFonts w:cs="Arial"/>
              </w:rPr>
              <w:t xml:space="preserve">ouncil </w:t>
            </w:r>
            <w:r w:rsidRPr="006C3AED">
              <w:rPr>
                <w:rFonts w:cs="Arial"/>
              </w:rPr>
              <w:t>T</w:t>
            </w:r>
            <w:r>
              <w:rPr>
                <w:rFonts w:cs="Arial"/>
              </w:rPr>
              <w:t xml:space="preserve">ax </w:t>
            </w:r>
            <w:r w:rsidRPr="006C3AED">
              <w:rPr>
                <w:rFonts w:cs="Arial"/>
              </w:rPr>
              <w:t>R</w:t>
            </w:r>
            <w:r>
              <w:rPr>
                <w:rFonts w:cs="Arial"/>
              </w:rPr>
              <w:t xml:space="preserve">eduction </w:t>
            </w:r>
            <w:r w:rsidRPr="006C3AED">
              <w:rPr>
                <w:rFonts w:cs="Arial"/>
              </w:rPr>
              <w:t>S</w:t>
            </w:r>
            <w:r>
              <w:rPr>
                <w:rFonts w:cs="Arial"/>
              </w:rPr>
              <w:t>cheme</w:t>
            </w:r>
            <w:r w:rsidRPr="006C3AED">
              <w:rPr>
                <w:rFonts w:cs="Arial"/>
              </w:rPr>
              <w:t xml:space="preserve"> investigations. 104 week future entitlement model used for loss avoidance</w:t>
            </w:r>
          </w:p>
        </w:tc>
      </w:tr>
      <w:tr w:rsidR="006C3AED" w:rsidRPr="006C3AED" w14:paraId="52E945B2" w14:textId="77777777" w:rsidTr="00A1201F">
        <w:tc>
          <w:tcPr>
            <w:tcW w:w="2006" w:type="dxa"/>
          </w:tcPr>
          <w:p w14:paraId="00CB13FC" w14:textId="77777777" w:rsidR="006C3AED" w:rsidRPr="006C3AED" w:rsidRDefault="006C3AED" w:rsidP="006C3AED">
            <w:pPr>
              <w:rPr>
                <w:rFonts w:cs="Arial"/>
              </w:rPr>
            </w:pPr>
            <w:r w:rsidRPr="006C3AED">
              <w:rPr>
                <w:rFonts w:cs="Arial"/>
              </w:rPr>
              <w:t>Right to Buy</w:t>
            </w:r>
          </w:p>
          <w:p w14:paraId="09CA5E7A" w14:textId="77777777" w:rsidR="006C3AED" w:rsidRPr="006C3AED" w:rsidRDefault="006C3AED" w:rsidP="006C3AED">
            <w:pPr>
              <w:rPr>
                <w:rFonts w:cs="Arial"/>
              </w:rPr>
            </w:pPr>
          </w:p>
          <w:p w14:paraId="33971D14" w14:textId="77777777" w:rsidR="006C3AED" w:rsidRPr="006C3AED" w:rsidRDefault="006C3AED" w:rsidP="006C3AED">
            <w:pPr>
              <w:rPr>
                <w:rFonts w:cs="Arial"/>
              </w:rPr>
            </w:pPr>
          </w:p>
          <w:p w14:paraId="4743546E" w14:textId="77777777" w:rsidR="006C3AED" w:rsidRPr="006C3AED" w:rsidRDefault="006C3AED" w:rsidP="006C3AED">
            <w:pPr>
              <w:rPr>
                <w:rFonts w:cs="Arial"/>
              </w:rPr>
            </w:pPr>
          </w:p>
        </w:tc>
        <w:tc>
          <w:tcPr>
            <w:tcW w:w="1587" w:type="dxa"/>
          </w:tcPr>
          <w:p w14:paraId="7D0ADF14" w14:textId="77777777" w:rsidR="006C3AED" w:rsidRPr="006C3AED" w:rsidRDefault="006C3AED" w:rsidP="00165940">
            <w:pPr>
              <w:jc w:val="right"/>
              <w:rPr>
                <w:rFonts w:cs="Arial"/>
              </w:rPr>
            </w:pPr>
          </w:p>
        </w:tc>
        <w:tc>
          <w:tcPr>
            <w:tcW w:w="1617" w:type="dxa"/>
          </w:tcPr>
          <w:p w14:paraId="251D05FE" w14:textId="77777777" w:rsidR="006C3AED" w:rsidRPr="006C3AED" w:rsidRDefault="009B2DC1" w:rsidP="009B2DC1">
            <w:pPr>
              <w:jc w:val="right"/>
              <w:rPr>
                <w:rFonts w:cs="Arial"/>
              </w:rPr>
            </w:pPr>
            <w:r>
              <w:rPr>
                <w:rFonts w:cs="Arial"/>
              </w:rPr>
              <w:t>1</w:t>
            </w:r>
            <w:r w:rsidR="00A1246E">
              <w:rPr>
                <w:rFonts w:cs="Arial"/>
              </w:rPr>
              <w:t>,6</w:t>
            </w:r>
            <w:r>
              <w:rPr>
                <w:rFonts w:cs="Arial"/>
              </w:rPr>
              <w:t>84</w:t>
            </w:r>
            <w:r w:rsidR="00A1246E">
              <w:rPr>
                <w:rFonts w:cs="Arial"/>
              </w:rPr>
              <w:t>,</w:t>
            </w:r>
            <w:r>
              <w:rPr>
                <w:rFonts w:cs="Arial"/>
              </w:rPr>
              <w:t>0</w:t>
            </w:r>
            <w:r w:rsidR="00A1246E">
              <w:rPr>
                <w:rFonts w:cs="Arial"/>
              </w:rPr>
              <w:t>00</w:t>
            </w:r>
          </w:p>
        </w:tc>
        <w:tc>
          <w:tcPr>
            <w:tcW w:w="3312" w:type="dxa"/>
          </w:tcPr>
          <w:p w14:paraId="657BA156" w14:textId="77777777" w:rsidR="006C3AED" w:rsidRPr="006C3AED" w:rsidRDefault="009B2DC1" w:rsidP="009B2DC1">
            <w:pPr>
              <w:jc w:val="right"/>
              <w:rPr>
                <w:rFonts w:cs="Arial"/>
              </w:rPr>
            </w:pPr>
            <w:r>
              <w:rPr>
                <w:rFonts w:cs="Arial"/>
              </w:rPr>
              <w:t>20</w:t>
            </w:r>
            <w:r w:rsidR="006C3AED" w:rsidRPr="006C3AED">
              <w:rPr>
                <w:rFonts w:cs="Arial"/>
              </w:rPr>
              <w:t xml:space="preserve"> Right To Buy applications prevented </w:t>
            </w:r>
            <w:r w:rsidR="0049366C">
              <w:rPr>
                <w:rFonts w:cs="Arial"/>
              </w:rPr>
              <w:t>(</w:t>
            </w:r>
            <w:r>
              <w:rPr>
                <w:rFonts w:cs="Arial"/>
              </w:rPr>
              <w:t>24</w:t>
            </w:r>
            <w:r w:rsidR="0049366C">
              <w:rPr>
                <w:rFonts w:cs="Arial"/>
              </w:rPr>
              <w:t xml:space="preserve">% of all applications received) </w:t>
            </w:r>
            <w:r w:rsidR="006C3AED" w:rsidRPr="006C3AED">
              <w:rPr>
                <w:rFonts w:cs="Arial"/>
              </w:rPr>
              <w:t xml:space="preserve">following intervention / investigation.  </w:t>
            </w:r>
            <w:r>
              <w:rPr>
                <w:rFonts w:cs="Arial"/>
              </w:rPr>
              <w:t>20</w:t>
            </w:r>
            <w:r w:rsidR="006C3AED" w:rsidRPr="006C3AED">
              <w:rPr>
                <w:rFonts w:cs="Arial"/>
              </w:rPr>
              <w:t xml:space="preserve"> x £</w:t>
            </w:r>
            <w:r w:rsidR="00550230">
              <w:rPr>
                <w:rFonts w:cs="Arial"/>
              </w:rPr>
              <w:t>8</w:t>
            </w:r>
            <w:r>
              <w:rPr>
                <w:rFonts w:cs="Arial"/>
              </w:rPr>
              <w:t>4</w:t>
            </w:r>
            <w:r w:rsidR="006C3AED" w:rsidRPr="006C3AED">
              <w:rPr>
                <w:rFonts w:cs="Arial"/>
              </w:rPr>
              <w:t>,</w:t>
            </w:r>
            <w:r>
              <w:rPr>
                <w:rFonts w:cs="Arial"/>
              </w:rPr>
              <w:t>2</w:t>
            </w:r>
            <w:r w:rsidR="006C3AED" w:rsidRPr="006C3AED">
              <w:rPr>
                <w:rFonts w:cs="Arial"/>
              </w:rPr>
              <w:t>00 (max discount)</w:t>
            </w:r>
          </w:p>
        </w:tc>
      </w:tr>
      <w:tr w:rsidR="006C3AED" w:rsidRPr="006C3AED" w14:paraId="0B1EA8F3" w14:textId="77777777" w:rsidTr="00A1201F">
        <w:tc>
          <w:tcPr>
            <w:tcW w:w="2006" w:type="dxa"/>
          </w:tcPr>
          <w:p w14:paraId="5A239541" w14:textId="77777777" w:rsidR="006C3AED" w:rsidRPr="006C3AED" w:rsidRDefault="006C3AED" w:rsidP="006C3AED">
            <w:pPr>
              <w:rPr>
                <w:rFonts w:cs="Arial"/>
              </w:rPr>
            </w:pPr>
            <w:r w:rsidRPr="006C3AED">
              <w:rPr>
                <w:rFonts w:cs="Arial"/>
              </w:rPr>
              <w:t>Council Tax Discount / Exemption adjustments</w:t>
            </w:r>
          </w:p>
        </w:tc>
        <w:tc>
          <w:tcPr>
            <w:tcW w:w="1587" w:type="dxa"/>
          </w:tcPr>
          <w:p w14:paraId="2221C56B" w14:textId="77777777" w:rsidR="006C3AED" w:rsidRPr="006C3AED" w:rsidRDefault="009B2DC1" w:rsidP="00165940">
            <w:pPr>
              <w:jc w:val="right"/>
              <w:rPr>
                <w:rFonts w:cs="Arial"/>
              </w:rPr>
            </w:pPr>
            <w:r>
              <w:rPr>
                <w:rFonts w:cs="Arial"/>
              </w:rPr>
              <w:t>570,607</w:t>
            </w:r>
          </w:p>
        </w:tc>
        <w:tc>
          <w:tcPr>
            <w:tcW w:w="1617" w:type="dxa"/>
          </w:tcPr>
          <w:p w14:paraId="049F5571" w14:textId="77777777" w:rsidR="006C3AED" w:rsidRPr="006C3AED" w:rsidRDefault="006C3AED" w:rsidP="00165940">
            <w:pPr>
              <w:jc w:val="right"/>
              <w:rPr>
                <w:rFonts w:cs="Arial"/>
              </w:rPr>
            </w:pPr>
          </w:p>
        </w:tc>
        <w:tc>
          <w:tcPr>
            <w:tcW w:w="3312" w:type="dxa"/>
          </w:tcPr>
          <w:p w14:paraId="6F9D9309" w14:textId="77777777" w:rsidR="006C3AED" w:rsidRPr="006C3AED" w:rsidRDefault="004126CD" w:rsidP="00165940">
            <w:pPr>
              <w:jc w:val="right"/>
              <w:rPr>
                <w:rFonts w:cs="Arial"/>
              </w:rPr>
            </w:pPr>
            <w:r>
              <w:rPr>
                <w:rFonts w:cs="Arial"/>
              </w:rPr>
              <w:t xml:space="preserve">Achieved through reactive </w:t>
            </w:r>
            <w:r w:rsidR="000150A0">
              <w:rPr>
                <w:rFonts w:cs="Arial"/>
              </w:rPr>
              <w:t xml:space="preserve">investigation </w:t>
            </w:r>
            <w:r w:rsidR="00925A0F">
              <w:rPr>
                <w:rFonts w:cs="Arial"/>
              </w:rPr>
              <w:t>casewor</w:t>
            </w:r>
            <w:r w:rsidR="000150A0">
              <w:rPr>
                <w:rFonts w:cs="Arial"/>
              </w:rPr>
              <w:t>k</w:t>
            </w:r>
            <w:r w:rsidR="00550230">
              <w:rPr>
                <w:rFonts w:cs="Arial"/>
              </w:rPr>
              <w:t xml:space="preserve"> and rolling </w:t>
            </w:r>
            <w:r w:rsidR="00550230" w:rsidRPr="006C3AED">
              <w:rPr>
                <w:rFonts w:cs="Arial"/>
              </w:rPr>
              <w:t>review of S</w:t>
            </w:r>
            <w:r w:rsidR="001D54A7">
              <w:rPr>
                <w:rFonts w:cs="Arial"/>
              </w:rPr>
              <w:t xml:space="preserve">ingle </w:t>
            </w:r>
            <w:r w:rsidR="00550230" w:rsidRPr="006C3AED">
              <w:rPr>
                <w:rFonts w:cs="Arial"/>
              </w:rPr>
              <w:t>P</w:t>
            </w:r>
            <w:r w:rsidR="001D54A7">
              <w:rPr>
                <w:rFonts w:cs="Arial"/>
              </w:rPr>
              <w:t xml:space="preserve">erson </w:t>
            </w:r>
            <w:r w:rsidR="00550230" w:rsidRPr="006C3AED">
              <w:rPr>
                <w:rFonts w:cs="Arial"/>
              </w:rPr>
              <w:t>D</w:t>
            </w:r>
            <w:r w:rsidR="001D54A7">
              <w:rPr>
                <w:rFonts w:cs="Arial"/>
              </w:rPr>
              <w:t>iscount</w:t>
            </w:r>
            <w:r w:rsidR="00550230" w:rsidRPr="006C3AED">
              <w:rPr>
                <w:rFonts w:cs="Arial"/>
              </w:rPr>
              <w:t xml:space="preserve"> accounts to identify presence of  undeclared resident adults</w:t>
            </w:r>
          </w:p>
        </w:tc>
      </w:tr>
      <w:tr w:rsidR="006C3AED" w:rsidRPr="006C3AED" w14:paraId="02A0A7A5" w14:textId="77777777" w:rsidTr="00A1201F">
        <w:tc>
          <w:tcPr>
            <w:tcW w:w="2006" w:type="dxa"/>
          </w:tcPr>
          <w:p w14:paraId="32441C50" w14:textId="77777777" w:rsidR="006C3AED" w:rsidRPr="006C3AED" w:rsidRDefault="006C3AED" w:rsidP="006C3AED">
            <w:pPr>
              <w:rPr>
                <w:rFonts w:cs="Arial"/>
              </w:rPr>
            </w:pPr>
            <w:r w:rsidRPr="006C3AED">
              <w:rPr>
                <w:rFonts w:cs="Arial"/>
              </w:rPr>
              <w:t>Non Domestic Rates</w:t>
            </w:r>
          </w:p>
        </w:tc>
        <w:tc>
          <w:tcPr>
            <w:tcW w:w="1587" w:type="dxa"/>
          </w:tcPr>
          <w:p w14:paraId="79FEFF14" w14:textId="77777777" w:rsidR="006C3AED" w:rsidRPr="006C3AED" w:rsidRDefault="00FD25C2" w:rsidP="00FD25C2">
            <w:pPr>
              <w:jc w:val="right"/>
              <w:rPr>
                <w:rFonts w:cs="Arial"/>
              </w:rPr>
            </w:pPr>
            <w:r>
              <w:rPr>
                <w:rFonts w:cs="Arial"/>
              </w:rPr>
              <w:t>60</w:t>
            </w:r>
            <w:r w:rsidR="00C35974">
              <w:rPr>
                <w:rFonts w:cs="Arial"/>
              </w:rPr>
              <w:t>,</w:t>
            </w:r>
            <w:r>
              <w:rPr>
                <w:rFonts w:cs="Arial"/>
              </w:rPr>
              <w:t>147</w:t>
            </w:r>
          </w:p>
        </w:tc>
        <w:tc>
          <w:tcPr>
            <w:tcW w:w="1617" w:type="dxa"/>
          </w:tcPr>
          <w:p w14:paraId="468C902F" w14:textId="77777777" w:rsidR="006C3AED" w:rsidRPr="006C3AED" w:rsidRDefault="006C3AED" w:rsidP="00165940">
            <w:pPr>
              <w:jc w:val="right"/>
              <w:rPr>
                <w:rFonts w:cs="Arial"/>
              </w:rPr>
            </w:pPr>
          </w:p>
        </w:tc>
        <w:tc>
          <w:tcPr>
            <w:tcW w:w="3312" w:type="dxa"/>
          </w:tcPr>
          <w:p w14:paraId="198446E6" w14:textId="77777777" w:rsidR="006C3AED" w:rsidRPr="006C3AED" w:rsidRDefault="00665459" w:rsidP="00165940">
            <w:pPr>
              <w:jc w:val="right"/>
              <w:rPr>
                <w:rFonts w:cs="Arial"/>
              </w:rPr>
            </w:pPr>
            <w:r>
              <w:rPr>
                <w:rFonts w:cs="Arial"/>
              </w:rPr>
              <w:t>W</w:t>
            </w:r>
            <w:r w:rsidR="006C3AED" w:rsidRPr="006C3AED">
              <w:rPr>
                <w:rFonts w:cs="Arial"/>
              </w:rPr>
              <w:t>here investigation</w:t>
            </w:r>
            <w:r w:rsidR="00550230">
              <w:rPr>
                <w:rFonts w:cs="Arial"/>
              </w:rPr>
              <w:t xml:space="preserve"> &amp; data matching</w:t>
            </w:r>
            <w:r w:rsidR="006C3AED" w:rsidRPr="006C3AED">
              <w:rPr>
                <w:rFonts w:cs="Arial"/>
              </w:rPr>
              <w:t xml:space="preserve"> resulted in the discovery of unregistered business premises and identification of exemptions or discounts where no entitlement exists</w:t>
            </w:r>
          </w:p>
        </w:tc>
      </w:tr>
      <w:tr w:rsidR="006C3AED" w:rsidRPr="006C3AED" w14:paraId="00530666" w14:textId="77777777" w:rsidTr="00A1201F">
        <w:tc>
          <w:tcPr>
            <w:tcW w:w="2006" w:type="dxa"/>
          </w:tcPr>
          <w:p w14:paraId="684C205B" w14:textId="77777777" w:rsidR="006C3AED" w:rsidRDefault="006C3AED" w:rsidP="006C3AED">
            <w:pPr>
              <w:rPr>
                <w:rFonts w:cs="Arial"/>
              </w:rPr>
            </w:pPr>
            <w:r w:rsidRPr="006C3AED">
              <w:rPr>
                <w:rFonts w:cs="Arial"/>
              </w:rPr>
              <w:t>Properties Recovered</w:t>
            </w:r>
          </w:p>
          <w:p w14:paraId="4B8244D6" w14:textId="77777777" w:rsidR="004B3B92" w:rsidRPr="006C3AED" w:rsidRDefault="004B3B92" w:rsidP="006C3AED">
            <w:pPr>
              <w:rPr>
                <w:rFonts w:cs="Arial"/>
              </w:rPr>
            </w:pPr>
          </w:p>
        </w:tc>
        <w:tc>
          <w:tcPr>
            <w:tcW w:w="1587" w:type="dxa"/>
          </w:tcPr>
          <w:p w14:paraId="5F97A74C" w14:textId="77777777" w:rsidR="006C3AED" w:rsidRPr="006C3AED" w:rsidRDefault="006C3AED" w:rsidP="00165940">
            <w:pPr>
              <w:jc w:val="right"/>
              <w:rPr>
                <w:rFonts w:cs="Arial"/>
              </w:rPr>
            </w:pPr>
          </w:p>
        </w:tc>
        <w:tc>
          <w:tcPr>
            <w:tcW w:w="1617" w:type="dxa"/>
          </w:tcPr>
          <w:p w14:paraId="57F9FB7B" w14:textId="77777777" w:rsidR="006C3AED" w:rsidRPr="006C3AED" w:rsidRDefault="009B2DC1" w:rsidP="00C35974">
            <w:pPr>
              <w:jc w:val="right"/>
              <w:rPr>
                <w:rFonts w:cs="Arial"/>
              </w:rPr>
            </w:pPr>
            <w:r>
              <w:rPr>
                <w:rFonts w:cs="Arial"/>
              </w:rPr>
              <w:t>7</w:t>
            </w:r>
            <w:r w:rsidR="00C35974">
              <w:rPr>
                <w:rFonts w:cs="Arial"/>
              </w:rPr>
              <w:t>2</w:t>
            </w:r>
            <w:r w:rsidR="000150A0">
              <w:rPr>
                <w:rFonts w:cs="Arial"/>
              </w:rPr>
              <w:t>,000</w:t>
            </w:r>
          </w:p>
        </w:tc>
        <w:tc>
          <w:tcPr>
            <w:tcW w:w="3312" w:type="dxa"/>
          </w:tcPr>
          <w:p w14:paraId="2C31749A" w14:textId="77777777" w:rsidR="004B3B92" w:rsidRPr="006C3AED" w:rsidRDefault="006C3AED" w:rsidP="009B2DC1">
            <w:pPr>
              <w:jc w:val="right"/>
              <w:rPr>
                <w:rFonts w:cs="Arial"/>
              </w:rPr>
            </w:pPr>
            <w:r w:rsidRPr="006C3AED">
              <w:rPr>
                <w:rFonts w:cs="Arial"/>
              </w:rPr>
              <w:t xml:space="preserve">The cost of keeping a family in temporary accommodation for one year calculated using the Oxford model (£24k x </w:t>
            </w:r>
            <w:r w:rsidR="009B2DC1">
              <w:rPr>
                <w:rFonts w:cs="Arial"/>
              </w:rPr>
              <w:t>3</w:t>
            </w:r>
            <w:r w:rsidR="001D54A7">
              <w:rPr>
                <w:rFonts w:cs="Arial"/>
              </w:rPr>
              <w:t xml:space="preserve"> properties</w:t>
            </w:r>
            <w:r w:rsidRPr="006C3AED">
              <w:rPr>
                <w:rFonts w:cs="Arial"/>
              </w:rPr>
              <w:t>)</w:t>
            </w:r>
          </w:p>
        </w:tc>
      </w:tr>
      <w:tr w:rsidR="006C3AED" w:rsidRPr="006C3AED" w14:paraId="75404806" w14:textId="77777777" w:rsidTr="00A1201F">
        <w:tc>
          <w:tcPr>
            <w:tcW w:w="2006" w:type="dxa"/>
          </w:tcPr>
          <w:p w14:paraId="0C29315A" w14:textId="77777777" w:rsidR="006C3AED" w:rsidRPr="006C3AED" w:rsidRDefault="006C3AED" w:rsidP="006C3AED">
            <w:pPr>
              <w:rPr>
                <w:rFonts w:cs="Arial"/>
              </w:rPr>
            </w:pPr>
            <w:r w:rsidRPr="006C3AED">
              <w:rPr>
                <w:rFonts w:cs="Arial"/>
              </w:rPr>
              <w:t>Housing Applications</w:t>
            </w:r>
          </w:p>
        </w:tc>
        <w:tc>
          <w:tcPr>
            <w:tcW w:w="1587" w:type="dxa"/>
          </w:tcPr>
          <w:p w14:paraId="23570950" w14:textId="77777777" w:rsidR="006C3AED" w:rsidRPr="006C3AED" w:rsidRDefault="006C3AED" w:rsidP="00165940">
            <w:pPr>
              <w:jc w:val="right"/>
              <w:rPr>
                <w:rFonts w:cs="Arial"/>
              </w:rPr>
            </w:pPr>
          </w:p>
        </w:tc>
        <w:tc>
          <w:tcPr>
            <w:tcW w:w="1617" w:type="dxa"/>
          </w:tcPr>
          <w:p w14:paraId="5D0D0C15" w14:textId="77777777" w:rsidR="006C3AED" w:rsidRPr="006C3AED" w:rsidRDefault="00C35974" w:rsidP="009B2DC1">
            <w:pPr>
              <w:jc w:val="right"/>
              <w:rPr>
                <w:rFonts w:cs="Arial"/>
              </w:rPr>
            </w:pPr>
            <w:r>
              <w:rPr>
                <w:rFonts w:cs="Arial"/>
              </w:rPr>
              <w:t>3</w:t>
            </w:r>
            <w:r w:rsidR="009B2DC1">
              <w:rPr>
                <w:rFonts w:cs="Arial"/>
              </w:rPr>
              <w:t>12</w:t>
            </w:r>
            <w:r w:rsidR="006C3AED" w:rsidRPr="006C3AED">
              <w:rPr>
                <w:rFonts w:cs="Arial"/>
              </w:rPr>
              <w:t>,000</w:t>
            </w:r>
          </w:p>
        </w:tc>
        <w:tc>
          <w:tcPr>
            <w:tcW w:w="3312" w:type="dxa"/>
          </w:tcPr>
          <w:p w14:paraId="58955DE7" w14:textId="77777777" w:rsidR="006C3AED" w:rsidRPr="006C3AED" w:rsidRDefault="00C35974" w:rsidP="009B2DC1">
            <w:pPr>
              <w:jc w:val="right"/>
              <w:rPr>
                <w:rFonts w:cs="Arial"/>
              </w:rPr>
            </w:pPr>
            <w:r>
              <w:rPr>
                <w:rFonts w:cs="Arial"/>
              </w:rPr>
              <w:t>1</w:t>
            </w:r>
            <w:r w:rsidR="009B2DC1">
              <w:rPr>
                <w:rFonts w:cs="Arial"/>
              </w:rPr>
              <w:t>3</w:t>
            </w:r>
            <w:r w:rsidR="006C3AED" w:rsidRPr="006C3AED">
              <w:rPr>
                <w:rFonts w:cs="Arial"/>
              </w:rPr>
              <w:t xml:space="preserve"> General Register Housing Applications stopped through investigation activity preventing temporary accommodation costs or </w:t>
            </w:r>
            <w:r w:rsidR="006C3AED" w:rsidRPr="006C3AED">
              <w:rPr>
                <w:rFonts w:cs="Arial"/>
              </w:rPr>
              <w:lastRenderedPageBreak/>
              <w:t>property allocation -  £24,000 per instance</w:t>
            </w:r>
          </w:p>
        </w:tc>
      </w:tr>
      <w:tr w:rsidR="00DF0A83" w:rsidRPr="006C3AED" w14:paraId="514E0ABC" w14:textId="77777777" w:rsidTr="00A1201F">
        <w:tc>
          <w:tcPr>
            <w:tcW w:w="2006" w:type="dxa"/>
          </w:tcPr>
          <w:p w14:paraId="3E17F79B" w14:textId="77777777" w:rsidR="00DF0A83" w:rsidRPr="006C3AED" w:rsidRDefault="00FD25C2" w:rsidP="00925A0F">
            <w:pPr>
              <w:rPr>
                <w:rFonts w:cs="Arial"/>
              </w:rPr>
            </w:pPr>
            <w:r>
              <w:rPr>
                <w:rFonts w:cs="Arial"/>
              </w:rPr>
              <w:lastRenderedPageBreak/>
              <w:t>Chargeback Investigation</w:t>
            </w:r>
            <w:r w:rsidR="00B1256A">
              <w:rPr>
                <w:rFonts w:cs="Arial"/>
              </w:rPr>
              <w:t>s</w:t>
            </w:r>
          </w:p>
        </w:tc>
        <w:tc>
          <w:tcPr>
            <w:tcW w:w="1587" w:type="dxa"/>
          </w:tcPr>
          <w:p w14:paraId="3882BEAA" w14:textId="77777777" w:rsidR="00DF0A83" w:rsidRDefault="00DF0A83" w:rsidP="00165940">
            <w:pPr>
              <w:jc w:val="right"/>
              <w:rPr>
                <w:rFonts w:cs="Arial"/>
              </w:rPr>
            </w:pPr>
          </w:p>
        </w:tc>
        <w:tc>
          <w:tcPr>
            <w:tcW w:w="1617" w:type="dxa"/>
          </w:tcPr>
          <w:p w14:paraId="0AD952EF" w14:textId="77777777" w:rsidR="00DF0A83" w:rsidRPr="006C3AED" w:rsidRDefault="00FD25C2" w:rsidP="00165940">
            <w:pPr>
              <w:jc w:val="right"/>
              <w:rPr>
                <w:rFonts w:cs="Arial"/>
              </w:rPr>
            </w:pPr>
            <w:r>
              <w:rPr>
                <w:rFonts w:cs="Arial"/>
              </w:rPr>
              <w:t>12,314</w:t>
            </w:r>
          </w:p>
        </w:tc>
        <w:tc>
          <w:tcPr>
            <w:tcW w:w="3312" w:type="dxa"/>
          </w:tcPr>
          <w:p w14:paraId="4E4F3FC3" w14:textId="77777777" w:rsidR="00DF0A83" w:rsidRPr="006C3AED" w:rsidRDefault="00B1256A" w:rsidP="00DF7ECA">
            <w:pPr>
              <w:jc w:val="right"/>
              <w:rPr>
                <w:rFonts w:cs="Arial"/>
              </w:rPr>
            </w:pPr>
            <w:r>
              <w:rPr>
                <w:rFonts w:cs="Arial"/>
              </w:rPr>
              <w:t xml:space="preserve">4 cases </w:t>
            </w:r>
            <w:r w:rsidR="00DF7ECA">
              <w:rPr>
                <w:rFonts w:cs="Arial"/>
              </w:rPr>
              <w:t xml:space="preserve">where credit card chargebacks were challenged and balance loaded back onto </w:t>
            </w:r>
            <w:r>
              <w:rPr>
                <w:rFonts w:cs="Arial"/>
              </w:rPr>
              <w:t>rent</w:t>
            </w:r>
            <w:r w:rsidR="00DF7ECA">
              <w:rPr>
                <w:rFonts w:cs="Arial"/>
              </w:rPr>
              <w:t xml:space="preserve"> and Council Tax </w:t>
            </w:r>
            <w:r>
              <w:rPr>
                <w:rFonts w:cs="Arial"/>
              </w:rPr>
              <w:t xml:space="preserve"> account</w:t>
            </w:r>
            <w:r w:rsidR="00DF7ECA">
              <w:rPr>
                <w:rFonts w:cs="Arial"/>
              </w:rPr>
              <w:t>s</w:t>
            </w:r>
          </w:p>
        </w:tc>
      </w:tr>
      <w:tr w:rsidR="00DF0A83" w:rsidRPr="006C3AED" w14:paraId="057A7FAD" w14:textId="77777777" w:rsidTr="00A1201F">
        <w:tc>
          <w:tcPr>
            <w:tcW w:w="2006" w:type="dxa"/>
          </w:tcPr>
          <w:p w14:paraId="39FEA18B" w14:textId="77777777" w:rsidR="00DF0A83" w:rsidRPr="006C3AED" w:rsidRDefault="00FD25C2" w:rsidP="00925A0F">
            <w:pPr>
              <w:rPr>
                <w:rFonts w:cs="Arial"/>
              </w:rPr>
            </w:pPr>
            <w:proofErr w:type="spellStart"/>
            <w:r>
              <w:rPr>
                <w:rFonts w:cs="Arial"/>
              </w:rPr>
              <w:t>Covid</w:t>
            </w:r>
            <w:proofErr w:type="spellEnd"/>
            <w:r>
              <w:rPr>
                <w:rFonts w:cs="Arial"/>
              </w:rPr>
              <w:t xml:space="preserve"> Business Grants</w:t>
            </w:r>
          </w:p>
        </w:tc>
        <w:tc>
          <w:tcPr>
            <w:tcW w:w="1587" w:type="dxa"/>
          </w:tcPr>
          <w:p w14:paraId="788823C4" w14:textId="77777777" w:rsidR="00DF0A83" w:rsidRDefault="00DF0A83" w:rsidP="00165940">
            <w:pPr>
              <w:jc w:val="right"/>
              <w:rPr>
                <w:rFonts w:cs="Arial"/>
              </w:rPr>
            </w:pPr>
          </w:p>
        </w:tc>
        <w:tc>
          <w:tcPr>
            <w:tcW w:w="1617" w:type="dxa"/>
          </w:tcPr>
          <w:p w14:paraId="19D100FB" w14:textId="77777777" w:rsidR="00DF0A83" w:rsidRPr="006C3AED" w:rsidRDefault="00FD25C2" w:rsidP="00165940">
            <w:pPr>
              <w:jc w:val="right"/>
              <w:rPr>
                <w:rFonts w:cs="Arial"/>
              </w:rPr>
            </w:pPr>
            <w:r>
              <w:rPr>
                <w:rFonts w:cs="Arial"/>
              </w:rPr>
              <w:t>6,545,007</w:t>
            </w:r>
          </w:p>
        </w:tc>
        <w:tc>
          <w:tcPr>
            <w:tcW w:w="3312" w:type="dxa"/>
          </w:tcPr>
          <w:p w14:paraId="021F4A85" w14:textId="77777777" w:rsidR="00DF0A83" w:rsidRPr="006C3AED" w:rsidRDefault="00DF12AB" w:rsidP="00165940">
            <w:pPr>
              <w:jc w:val="right"/>
              <w:rPr>
                <w:rFonts w:cs="Arial"/>
              </w:rPr>
            </w:pPr>
            <w:r>
              <w:rPr>
                <w:rFonts w:cs="Arial"/>
              </w:rPr>
              <w:t>Enhanced due diligence and verification checks conducted by the team on all  grant applications prevented fraudulent and irregular payments</w:t>
            </w:r>
          </w:p>
        </w:tc>
      </w:tr>
      <w:tr w:rsidR="00665459" w:rsidRPr="006C3AED" w14:paraId="7452E899" w14:textId="77777777" w:rsidTr="00A1201F">
        <w:tc>
          <w:tcPr>
            <w:tcW w:w="2006" w:type="dxa"/>
          </w:tcPr>
          <w:p w14:paraId="4780BB88" w14:textId="77777777" w:rsidR="00665459" w:rsidRPr="006C3AED" w:rsidRDefault="00665459" w:rsidP="00925A0F">
            <w:pPr>
              <w:rPr>
                <w:rFonts w:cs="Arial"/>
              </w:rPr>
            </w:pPr>
          </w:p>
        </w:tc>
        <w:tc>
          <w:tcPr>
            <w:tcW w:w="1587" w:type="dxa"/>
          </w:tcPr>
          <w:p w14:paraId="30A73D45" w14:textId="77777777" w:rsidR="00665459" w:rsidRDefault="00665459" w:rsidP="00165940">
            <w:pPr>
              <w:jc w:val="right"/>
              <w:rPr>
                <w:rFonts w:cs="Arial"/>
              </w:rPr>
            </w:pPr>
          </w:p>
        </w:tc>
        <w:tc>
          <w:tcPr>
            <w:tcW w:w="1617" w:type="dxa"/>
          </w:tcPr>
          <w:p w14:paraId="1AE647B3" w14:textId="77777777" w:rsidR="00665459" w:rsidRPr="006C3AED" w:rsidRDefault="00665459" w:rsidP="00165940">
            <w:pPr>
              <w:jc w:val="right"/>
              <w:rPr>
                <w:rFonts w:cs="Arial"/>
              </w:rPr>
            </w:pPr>
          </w:p>
        </w:tc>
        <w:tc>
          <w:tcPr>
            <w:tcW w:w="3312" w:type="dxa"/>
          </w:tcPr>
          <w:p w14:paraId="0F596A62" w14:textId="77777777" w:rsidR="00665459" w:rsidRPr="006C3AED" w:rsidRDefault="00665459" w:rsidP="00165940">
            <w:pPr>
              <w:jc w:val="right"/>
              <w:rPr>
                <w:rFonts w:cs="Arial"/>
              </w:rPr>
            </w:pPr>
          </w:p>
        </w:tc>
      </w:tr>
      <w:tr w:rsidR="006C3AED" w:rsidRPr="006C3AED" w14:paraId="03FF5154" w14:textId="77777777" w:rsidTr="00A1201F">
        <w:trPr>
          <w:trHeight w:val="425"/>
        </w:trPr>
        <w:tc>
          <w:tcPr>
            <w:tcW w:w="2006" w:type="dxa"/>
          </w:tcPr>
          <w:p w14:paraId="2BB21BDC" w14:textId="77777777" w:rsidR="006C3AED" w:rsidRPr="00165940" w:rsidRDefault="00A1246E" w:rsidP="006C3AED">
            <w:pPr>
              <w:rPr>
                <w:rFonts w:cs="Arial"/>
                <w:b/>
              </w:rPr>
            </w:pPr>
            <w:r>
              <w:rPr>
                <w:rFonts w:cs="Arial"/>
                <w:b/>
              </w:rPr>
              <w:t>Totals</w:t>
            </w:r>
          </w:p>
        </w:tc>
        <w:tc>
          <w:tcPr>
            <w:tcW w:w="1587" w:type="dxa"/>
          </w:tcPr>
          <w:p w14:paraId="6AE39E83" w14:textId="77777777" w:rsidR="006C3AED" w:rsidRPr="00165940" w:rsidRDefault="00DF12AB" w:rsidP="00072CA7">
            <w:pPr>
              <w:jc w:val="right"/>
              <w:rPr>
                <w:rFonts w:cs="Arial"/>
                <w:b/>
              </w:rPr>
            </w:pPr>
            <w:r>
              <w:rPr>
                <w:rFonts w:cs="Arial"/>
                <w:b/>
              </w:rPr>
              <w:t>7</w:t>
            </w:r>
            <w:r w:rsidR="00072CA7">
              <w:rPr>
                <w:rFonts w:cs="Arial"/>
                <w:b/>
              </w:rPr>
              <w:t>25</w:t>
            </w:r>
            <w:r w:rsidR="00C35974">
              <w:rPr>
                <w:rFonts w:cs="Arial"/>
                <w:b/>
              </w:rPr>
              <w:t>,</w:t>
            </w:r>
            <w:r w:rsidR="00072CA7">
              <w:rPr>
                <w:rFonts w:cs="Arial"/>
                <w:b/>
              </w:rPr>
              <w:t>95</w:t>
            </w:r>
            <w:r>
              <w:rPr>
                <w:rFonts w:cs="Arial"/>
                <w:b/>
              </w:rPr>
              <w:t>4</w:t>
            </w:r>
          </w:p>
        </w:tc>
        <w:tc>
          <w:tcPr>
            <w:tcW w:w="1617" w:type="dxa"/>
          </w:tcPr>
          <w:p w14:paraId="3944EE64" w14:textId="77777777" w:rsidR="003E2329" w:rsidRPr="00165940" w:rsidRDefault="00DF12AB" w:rsidP="004D0250">
            <w:pPr>
              <w:jc w:val="right"/>
              <w:rPr>
                <w:rFonts w:cs="Arial"/>
                <w:b/>
              </w:rPr>
            </w:pPr>
            <w:r>
              <w:rPr>
                <w:rFonts w:cs="Arial"/>
                <w:b/>
              </w:rPr>
              <w:t>8,735,225</w:t>
            </w:r>
          </w:p>
        </w:tc>
        <w:tc>
          <w:tcPr>
            <w:tcW w:w="3312" w:type="dxa"/>
          </w:tcPr>
          <w:p w14:paraId="247A5443" w14:textId="77777777" w:rsidR="006C3AED" w:rsidRPr="00165940" w:rsidRDefault="00DF7ECA" w:rsidP="00072CA7">
            <w:pPr>
              <w:jc w:val="right"/>
              <w:rPr>
                <w:rFonts w:cs="Arial"/>
                <w:b/>
              </w:rPr>
            </w:pPr>
            <w:r>
              <w:rPr>
                <w:rFonts w:cs="Arial"/>
                <w:b/>
              </w:rPr>
              <w:t>9</w:t>
            </w:r>
            <w:r w:rsidR="00681B40">
              <w:rPr>
                <w:rFonts w:cs="Arial"/>
                <w:b/>
              </w:rPr>
              <w:t>,</w:t>
            </w:r>
            <w:r w:rsidR="004D0250">
              <w:rPr>
                <w:rFonts w:cs="Arial"/>
                <w:b/>
              </w:rPr>
              <w:t>4</w:t>
            </w:r>
            <w:r w:rsidR="00072CA7">
              <w:rPr>
                <w:rFonts w:cs="Arial"/>
                <w:b/>
              </w:rPr>
              <w:t>6</w:t>
            </w:r>
            <w:r>
              <w:rPr>
                <w:rFonts w:cs="Arial"/>
                <w:b/>
              </w:rPr>
              <w:t>1</w:t>
            </w:r>
            <w:r w:rsidR="00681B40">
              <w:rPr>
                <w:rFonts w:cs="Arial"/>
                <w:b/>
              </w:rPr>
              <w:t>,</w:t>
            </w:r>
            <w:r w:rsidR="00072CA7">
              <w:rPr>
                <w:rFonts w:cs="Arial"/>
                <w:b/>
              </w:rPr>
              <w:t>17</w:t>
            </w:r>
            <w:r>
              <w:rPr>
                <w:rFonts w:cs="Arial"/>
                <w:b/>
              </w:rPr>
              <w:t>9</w:t>
            </w:r>
          </w:p>
        </w:tc>
      </w:tr>
      <w:tr w:rsidR="00165940" w:rsidRPr="006C3AED" w14:paraId="3896A5A1" w14:textId="77777777" w:rsidTr="00A1201F">
        <w:trPr>
          <w:trHeight w:val="425"/>
        </w:trPr>
        <w:tc>
          <w:tcPr>
            <w:tcW w:w="2006" w:type="dxa"/>
          </w:tcPr>
          <w:p w14:paraId="74DFC5D3" w14:textId="77777777" w:rsidR="00165940" w:rsidRPr="006C3AED" w:rsidRDefault="00165940" w:rsidP="00165940">
            <w:pPr>
              <w:rPr>
                <w:rFonts w:cs="Arial"/>
              </w:rPr>
            </w:pPr>
            <w:r>
              <w:rPr>
                <w:rFonts w:cs="Arial"/>
              </w:rPr>
              <w:t>Trading income from commercial activity</w:t>
            </w:r>
          </w:p>
        </w:tc>
        <w:tc>
          <w:tcPr>
            <w:tcW w:w="1587" w:type="dxa"/>
          </w:tcPr>
          <w:p w14:paraId="47B52657" w14:textId="77777777" w:rsidR="00165940" w:rsidRPr="00481D82" w:rsidRDefault="00DF12AB" w:rsidP="00165940">
            <w:pPr>
              <w:jc w:val="right"/>
              <w:rPr>
                <w:rFonts w:cs="Arial"/>
              </w:rPr>
            </w:pPr>
            <w:r>
              <w:rPr>
                <w:rFonts w:cs="Arial"/>
              </w:rPr>
              <w:t>268,523</w:t>
            </w:r>
          </w:p>
          <w:p w14:paraId="0B8CA6A9" w14:textId="77777777" w:rsidR="00165940" w:rsidRDefault="00165940" w:rsidP="00165940">
            <w:pPr>
              <w:jc w:val="right"/>
              <w:rPr>
                <w:rFonts w:cs="Arial"/>
              </w:rPr>
            </w:pPr>
          </w:p>
        </w:tc>
        <w:tc>
          <w:tcPr>
            <w:tcW w:w="1617" w:type="dxa"/>
          </w:tcPr>
          <w:p w14:paraId="2DE246B6" w14:textId="77777777" w:rsidR="00165940" w:rsidRDefault="00165940" w:rsidP="00165940">
            <w:pPr>
              <w:jc w:val="right"/>
              <w:rPr>
                <w:rFonts w:cs="Arial"/>
              </w:rPr>
            </w:pPr>
            <w:r>
              <w:rPr>
                <w:rFonts w:cs="Arial"/>
              </w:rPr>
              <w:t>-</w:t>
            </w:r>
          </w:p>
        </w:tc>
        <w:tc>
          <w:tcPr>
            <w:tcW w:w="3312" w:type="dxa"/>
          </w:tcPr>
          <w:p w14:paraId="5CBF7920" w14:textId="77777777" w:rsidR="00165940" w:rsidRPr="00165940" w:rsidRDefault="00005690" w:rsidP="00E17CB4">
            <w:pPr>
              <w:jc w:val="right"/>
              <w:rPr>
                <w:rFonts w:cs="Arial"/>
              </w:rPr>
            </w:pPr>
            <w:r>
              <w:rPr>
                <w:rFonts w:cs="Arial"/>
              </w:rPr>
              <w:t>£</w:t>
            </w:r>
            <w:r w:rsidR="00DF7ECA">
              <w:rPr>
                <w:rFonts w:cs="Arial"/>
              </w:rPr>
              <w:t>268</w:t>
            </w:r>
            <w:r w:rsidR="00C35974">
              <w:rPr>
                <w:rFonts w:cs="Arial"/>
              </w:rPr>
              <w:t>,</w:t>
            </w:r>
            <w:r w:rsidR="00DF7ECA">
              <w:rPr>
                <w:rFonts w:cs="Arial"/>
              </w:rPr>
              <w:t>523</w:t>
            </w:r>
            <w:r>
              <w:rPr>
                <w:rFonts w:cs="Arial"/>
              </w:rPr>
              <w:t xml:space="preserve"> </w:t>
            </w:r>
            <w:r w:rsidR="00E17CB4">
              <w:rPr>
                <w:rFonts w:cs="Arial"/>
              </w:rPr>
              <w:t>achieved</w:t>
            </w:r>
            <w:r>
              <w:rPr>
                <w:rFonts w:cs="Arial"/>
              </w:rPr>
              <w:t xml:space="preserve"> against a budgeted annual income of </w:t>
            </w:r>
            <w:r w:rsidR="00E17CB4">
              <w:rPr>
                <w:rFonts w:cs="Arial"/>
              </w:rPr>
              <w:t>£300,000</w:t>
            </w:r>
          </w:p>
        </w:tc>
      </w:tr>
      <w:tr w:rsidR="00165940" w:rsidRPr="006C3AED" w14:paraId="319F4A3C" w14:textId="77777777" w:rsidTr="00A1201F">
        <w:trPr>
          <w:trHeight w:val="425"/>
        </w:trPr>
        <w:tc>
          <w:tcPr>
            <w:tcW w:w="2006" w:type="dxa"/>
          </w:tcPr>
          <w:p w14:paraId="065CE5A3" w14:textId="77777777" w:rsidR="00165940" w:rsidRPr="00165940" w:rsidRDefault="00165940" w:rsidP="00C35974">
            <w:pPr>
              <w:rPr>
                <w:rFonts w:cs="Arial"/>
                <w:b/>
              </w:rPr>
            </w:pPr>
            <w:r w:rsidRPr="00165940">
              <w:rPr>
                <w:rFonts w:cs="Arial"/>
                <w:b/>
              </w:rPr>
              <w:t xml:space="preserve">Total income </w:t>
            </w:r>
            <w:r>
              <w:rPr>
                <w:rFonts w:cs="Arial"/>
                <w:b/>
              </w:rPr>
              <w:t xml:space="preserve">and </w:t>
            </w:r>
            <w:r w:rsidR="00AE1CDB">
              <w:rPr>
                <w:rFonts w:cs="Arial"/>
                <w:b/>
              </w:rPr>
              <w:t xml:space="preserve">fraud </w:t>
            </w:r>
            <w:r>
              <w:rPr>
                <w:rFonts w:cs="Arial"/>
                <w:b/>
              </w:rPr>
              <w:t>loss avoidance</w:t>
            </w:r>
          </w:p>
        </w:tc>
        <w:tc>
          <w:tcPr>
            <w:tcW w:w="1587" w:type="dxa"/>
          </w:tcPr>
          <w:p w14:paraId="34E25104" w14:textId="77777777" w:rsidR="00165940" w:rsidRPr="00165940" w:rsidRDefault="00072CA7" w:rsidP="00072CA7">
            <w:pPr>
              <w:jc w:val="right"/>
              <w:rPr>
                <w:rFonts w:cs="Arial"/>
                <w:b/>
              </w:rPr>
            </w:pPr>
            <w:r>
              <w:rPr>
                <w:rFonts w:cs="Arial"/>
                <w:b/>
              </w:rPr>
              <w:t>994,477</w:t>
            </w:r>
          </w:p>
        </w:tc>
        <w:tc>
          <w:tcPr>
            <w:tcW w:w="1617" w:type="dxa"/>
          </w:tcPr>
          <w:p w14:paraId="694AE622" w14:textId="77777777" w:rsidR="00165940" w:rsidRPr="00165940" w:rsidRDefault="00DF7ECA" w:rsidP="00DF7ECA">
            <w:pPr>
              <w:jc w:val="right"/>
              <w:rPr>
                <w:rFonts w:cs="Arial"/>
                <w:b/>
              </w:rPr>
            </w:pPr>
            <w:r>
              <w:rPr>
                <w:rFonts w:cs="Arial"/>
                <w:b/>
              </w:rPr>
              <w:t>8</w:t>
            </w:r>
            <w:r w:rsidR="00AE1CDB">
              <w:rPr>
                <w:rFonts w:cs="Arial"/>
                <w:b/>
              </w:rPr>
              <w:t>,</w:t>
            </w:r>
            <w:r>
              <w:rPr>
                <w:rFonts w:cs="Arial"/>
                <w:b/>
              </w:rPr>
              <w:t>735</w:t>
            </w:r>
            <w:r w:rsidR="00AE1CDB">
              <w:rPr>
                <w:rFonts w:cs="Arial"/>
                <w:b/>
              </w:rPr>
              <w:t>,</w:t>
            </w:r>
            <w:r>
              <w:rPr>
                <w:rFonts w:cs="Arial"/>
                <w:b/>
              </w:rPr>
              <w:t>225</w:t>
            </w:r>
          </w:p>
        </w:tc>
        <w:tc>
          <w:tcPr>
            <w:tcW w:w="3312" w:type="dxa"/>
          </w:tcPr>
          <w:p w14:paraId="796BA4D4" w14:textId="77777777" w:rsidR="00165940" w:rsidRPr="00165940" w:rsidRDefault="00DF7ECA" w:rsidP="00072CA7">
            <w:pPr>
              <w:jc w:val="right"/>
              <w:rPr>
                <w:rFonts w:cs="Arial"/>
                <w:b/>
              </w:rPr>
            </w:pPr>
            <w:r>
              <w:rPr>
                <w:rFonts w:cs="Arial"/>
                <w:b/>
              </w:rPr>
              <w:t>9</w:t>
            </w:r>
            <w:r w:rsidR="00AE1CDB">
              <w:rPr>
                <w:rFonts w:cs="Arial"/>
                <w:b/>
              </w:rPr>
              <w:t>,</w:t>
            </w:r>
            <w:r w:rsidR="004D0250">
              <w:rPr>
                <w:rFonts w:cs="Arial"/>
                <w:b/>
              </w:rPr>
              <w:t>7</w:t>
            </w:r>
            <w:r w:rsidR="00072CA7">
              <w:rPr>
                <w:rFonts w:cs="Arial"/>
                <w:b/>
              </w:rPr>
              <w:t>29</w:t>
            </w:r>
            <w:r w:rsidR="00AE1CDB">
              <w:rPr>
                <w:rFonts w:cs="Arial"/>
                <w:b/>
              </w:rPr>
              <w:t>,</w:t>
            </w:r>
            <w:r w:rsidR="00072CA7">
              <w:rPr>
                <w:rFonts w:cs="Arial"/>
                <w:b/>
              </w:rPr>
              <w:t>70</w:t>
            </w:r>
            <w:r>
              <w:rPr>
                <w:rFonts w:cs="Arial"/>
                <w:b/>
              </w:rPr>
              <w:t>2</w:t>
            </w:r>
          </w:p>
        </w:tc>
      </w:tr>
    </w:tbl>
    <w:p w14:paraId="46EFA4F5" w14:textId="77777777" w:rsidR="00694F2E" w:rsidRDefault="00694F2E" w:rsidP="00C10750">
      <w:pPr>
        <w:rPr>
          <w:rFonts w:cs="Arial"/>
        </w:rPr>
      </w:pPr>
    </w:p>
    <w:p w14:paraId="72981794" w14:textId="77777777" w:rsidR="00694F2E" w:rsidRDefault="00694F2E" w:rsidP="00C10750">
      <w:pPr>
        <w:rPr>
          <w:rFonts w:cs="Arial"/>
        </w:rPr>
      </w:pPr>
    </w:p>
    <w:p w14:paraId="4FCD7B08" w14:textId="77777777" w:rsidR="00A42B08" w:rsidRPr="009471F5" w:rsidRDefault="00674107" w:rsidP="009471F5">
      <w:pPr>
        <w:pStyle w:val="ListParagraph"/>
        <w:numPr>
          <w:ilvl w:val="0"/>
          <w:numId w:val="1"/>
        </w:numPr>
        <w:spacing w:before="120" w:after="120"/>
        <w:rPr>
          <w:rFonts w:cs="Arial"/>
        </w:rPr>
      </w:pPr>
      <w:r w:rsidRPr="009471F5">
        <w:rPr>
          <w:rFonts w:cs="Arial"/>
        </w:rPr>
        <w:t>The Team host</w:t>
      </w:r>
      <w:r w:rsidR="00A42B08" w:rsidRPr="009471F5">
        <w:rPr>
          <w:rFonts w:cs="Arial"/>
        </w:rPr>
        <w:t>ed</w:t>
      </w:r>
      <w:r w:rsidR="0028754B" w:rsidRPr="009471F5">
        <w:rPr>
          <w:rFonts w:cs="Arial"/>
        </w:rPr>
        <w:t xml:space="preserve"> its </w:t>
      </w:r>
      <w:r w:rsidR="006945DE" w:rsidRPr="009471F5">
        <w:rPr>
          <w:rFonts w:cs="Arial"/>
        </w:rPr>
        <w:t>f</w:t>
      </w:r>
      <w:r w:rsidR="006945DE">
        <w:rPr>
          <w:rFonts w:cs="Arial"/>
        </w:rPr>
        <w:t>ift</w:t>
      </w:r>
      <w:r w:rsidR="006945DE" w:rsidRPr="009471F5">
        <w:rPr>
          <w:rFonts w:cs="Arial"/>
        </w:rPr>
        <w:t>h</w:t>
      </w:r>
      <w:r w:rsidR="009C6448" w:rsidRPr="009471F5">
        <w:rPr>
          <w:rFonts w:cs="Arial"/>
        </w:rPr>
        <w:t xml:space="preserve"> </w:t>
      </w:r>
      <w:r w:rsidR="0028754B" w:rsidRPr="009471F5">
        <w:rPr>
          <w:rFonts w:cs="Arial"/>
        </w:rPr>
        <w:t xml:space="preserve">annual </w:t>
      </w:r>
      <w:r w:rsidR="009C6448" w:rsidRPr="009471F5">
        <w:rPr>
          <w:rFonts w:cs="Arial"/>
        </w:rPr>
        <w:t xml:space="preserve">fraud </w:t>
      </w:r>
      <w:r w:rsidR="0028754B" w:rsidRPr="009471F5">
        <w:rPr>
          <w:rFonts w:cs="Arial"/>
        </w:rPr>
        <w:t xml:space="preserve">conference </w:t>
      </w:r>
      <w:r w:rsidR="00DF7ECA">
        <w:rPr>
          <w:rFonts w:cs="Arial"/>
        </w:rPr>
        <w:t>on 12</w:t>
      </w:r>
      <w:r w:rsidR="00DF7ECA" w:rsidRPr="00DF7ECA">
        <w:rPr>
          <w:rFonts w:cs="Arial"/>
          <w:vertAlign w:val="superscript"/>
        </w:rPr>
        <w:t>th</w:t>
      </w:r>
      <w:r w:rsidR="00DF7ECA">
        <w:rPr>
          <w:rFonts w:cs="Arial"/>
        </w:rPr>
        <w:t xml:space="preserve"> November 2020. Due to the pandemic, it was not possible</w:t>
      </w:r>
      <w:r w:rsidRPr="009471F5">
        <w:rPr>
          <w:rFonts w:cs="Arial"/>
        </w:rPr>
        <w:t xml:space="preserve"> </w:t>
      </w:r>
      <w:r w:rsidR="006945DE">
        <w:rPr>
          <w:rFonts w:cs="Arial"/>
        </w:rPr>
        <w:t>to hold the event a</w:t>
      </w:r>
      <w:r w:rsidRPr="009471F5">
        <w:rPr>
          <w:rFonts w:cs="Arial"/>
        </w:rPr>
        <w:t>t Oxford Town Hall</w:t>
      </w:r>
      <w:r w:rsidR="006945DE">
        <w:rPr>
          <w:rFonts w:cs="Arial"/>
        </w:rPr>
        <w:t>, as in previous years</w:t>
      </w:r>
      <w:r w:rsidR="003F04A4" w:rsidRPr="009471F5">
        <w:rPr>
          <w:rFonts w:cs="Arial"/>
        </w:rPr>
        <w:t xml:space="preserve">. </w:t>
      </w:r>
      <w:r w:rsidR="00567EFF">
        <w:rPr>
          <w:rFonts w:cs="Arial"/>
        </w:rPr>
        <w:t xml:space="preserve">Instead, the Zoom platform was used successfully to host the most popular event to date. With 315 participants online at its peak, the aim of the event </w:t>
      </w:r>
      <w:r w:rsidR="00A42B08" w:rsidRPr="009471F5">
        <w:rPr>
          <w:rFonts w:cs="Arial"/>
        </w:rPr>
        <w:t>wa</w:t>
      </w:r>
      <w:r w:rsidR="003F04A4" w:rsidRPr="009471F5">
        <w:rPr>
          <w:rFonts w:cs="Arial"/>
        </w:rPr>
        <w:t>s</w:t>
      </w:r>
      <w:r w:rsidR="00567EFF">
        <w:rPr>
          <w:rFonts w:cs="Arial"/>
        </w:rPr>
        <w:t xml:space="preserve"> to </w:t>
      </w:r>
      <w:r w:rsidR="003F04A4" w:rsidRPr="009471F5">
        <w:rPr>
          <w:rFonts w:cs="Arial"/>
        </w:rPr>
        <w:t xml:space="preserve">help raise awareness of fraud trends and emerging risks to </w:t>
      </w:r>
      <w:r w:rsidR="00A710FB" w:rsidRPr="009471F5">
        <w:rPr>
          <w:rFonts w:cs="Arial"/>
        </w:rPr>
        <w:t xml:space="preserve">attending </w:t>
      </w:r>
      <w:r w:rsidR="003F04A4" w:rsidRPr="009471F5">
        <w:rPr>
          <w:rFonts w:cs="Arial"/>
        </w:rPr>
        <w:t>organisations</w:t>
      </w:r>
      <w:r w:rsidR="00A710FB" w:rsidRPr="009471F5">
        <w:rPr>
          <w:rFonts w:cs="Arial"/>
        </w:rPr>
        <w:t xml:space="preserve">, and </w:t>
      </w:r>
      <w:r w:rsidR="00567EFF">
        <w:rPr>
          <w:rFonts w:cs="Arial"/>
        </w:rPr>
        <w:t xml:space="preserve">also </w:t>
      </w:r>
      <w:r w:rsidR="00CF1594" w:rsidRPr="009471F5">
        <w:rPr>
          <w:rFonts w:cs="Arial"/>
        </w:rPr>
        <w:t xml:space="preserve">raise awareness of </w:t>
      </w:r>
      <w:r w:rsidR="00A710FB" w:rsidRPr="009471F5">
        <w:rPr>
          <w:rFonts w:cs="Arial"/>
        </w:rPr>
        <w:t>the services</w:t>
      </w:r>
      <w:r w:rsidR="00665FB1" w:rsidRPr="009471F5">
        <w:rPr>
          <w:rFonts w:cs="Arial"/>
        </w:rPr>
        <w:t xml:space="preserve"> that</w:t>
      </w:r>
      <w:r w:rsidR="00A710FB" w:rsidRPr="009471F5">
        <w:rPr>
          <w:rFonts w:cs="Arial"/>
        </w:rPr>
        <w:t xml:space="preserve"> the Investigation</w:t>
      </w:r>
      <w:r w:rsidR="00CF1594" w:rsidRPr="009471F5">
        <w:rPr>
          <w:rFonts w:cs="Arial"/>
        </w:rPr>
        <w:t>s</w:t>
      </w:r>
      <w:r w:rsidR="00A710FB" w:rsidRPr="009471F5">
        <w:rPr>
          <w:rFonts w:cs="Arial"/>
        </w:rPr>
        <w:t xml:space="preserve"> Team </w:t>
      </w:r>
      <w:r w:rsidR="00CF1594" w:rsidRPr="009471F5">
        <w:rPr>
          <w:rFonts w:cs="Arial"/>
        </w:rPr>
        <w:t>can offer</w:t>
      </w:r>
      <w:r w:rsidR="00A710FB" w:rsidRPr="009471F5">
        <w:rPr>
          <w:rFonts w:cs="Arial"/>
        </w:rPr>
        <w:t>.</w:t>
      </w:r>
      <w:r w:rsidR="0028754B" w:rsidRPr="009471F5">
        <w:rPr>
          <w:rFonts w:cs="Arial"/>
        </w:rPr>
        <w:t xml:space="preserve"> The team is known </w:t>
      </w:r>
      <w:r w:rsidR="00237916" w:rsidRPr="009471F5">
        <w:rPr>
          <w:rFonts w:cs="Arial"/>
        </w:rPr>
        <w:t xml:space="preserve">to other organisations </w:t>
      </w:r>
      <w:r w:rsidR="0028754B" w:rsidRPr="009471F5">
        <w:rPr>
          <w:rFonts w:cs="Arial"/>
        </w:rPr>
        <w:t xml:space="preserve">in a commercial capacity as </w:t>
      </w:r>
      <w:r w:rsidR="00665FB1" w:rsidRPr="009471F5">
        <w:rPr>
          <w:rFonts w:cs="Arial"/>
        </w:rPr>
        <w:t>t</w:t>
      </w:r>
      <w:r w:rsidR="0028754B" w:rsidRPr="009471F5">
        <w:rPr>
          <w:rFonts w:cs="Arial"/>
        </w:rPr>
        <w:t>he Oxford Investigation Service.</w:t>
      </w:r>
    </w:p>
    <w:p w14:paraId="18F5BBE6" w14:textId="77777777" w:rsidR="00F855DE" w:rsidRDefault="00F855DE" w:rsidP="00F855DE">
      <w:pPr>
        <w:pStyle w:val="ListParagraph"/>
        <w:rPr>
          <w:rFonts w:cs="Arial"/>
        </w:rPr>
      </w:pPr>
    </w:p>
    <w:p w14:paraId="26361FCD" w14:textId="77777777" w:rsidR="002306C8" w:rsidRPr="009471F5" w:rsidRDefault="002306C8" w:rsidP="009471F5">
      <w:pPr>
        <w:pStyle w:val="ListParagraph"/>
        <w:numPr>
          <w:ilvl w:val="0"/>
          <w:numId w:val="1"/>
        </w:numPr>
        <w:tabs>
          <w:tab w:val="left" w:pos="426"/>
        </w:tabs>
        <w:spacing w:before="120" w:after="120"/>
        <w:rPr>
          <w:rFonts w:cs="Arial"/>
        </w:rPr>
      </w:pPr>
      <w:r w:rsidRPr="009471F5">
        <w:rPr>
          <w:rFonts w:cs="Arial"/>
        </w:rPr>
        <w:t xml:space="preserve">The event has remained a free-to-attend conference for delegates with </w:t>
      </w:r>
      <w:r w:rsidRPr="009471F5">
        <w:rPr>
          <w:rFonts w:cs="Arial"/>
        </w:rPr>
        <w:tab/>
        <w:t>the costs not only be</w:t>
      </w:r>
      <w:r w:rsidR="00051277" w:rsidRPr="009471F5">
        <w:rPr>
          <w:rFonts w:cs="Arial"/>
        </w:rPr>
        <w:t>ing</w:t>
      </w:r>
      <w:r w:rsidRPr="009471F5">
        <w:rPr>
          <w:rFonts w:cs="Arial"/>
        </w:rPr>
        <w:t xml:space="preserve"> entirely covered through exhibitor charging</w:t>
      </w:r>
      <w:r w:rsidR="00567EFF">
        <w:rPr>
          <w:rFonts w:cs="Arial"/>
        </w:rPr>
        <w:t xml:space="preserve"> and sponsorship, </w:t>
      </w:r>
      <w:r w:rsidRPr="009471F5">
        <w:rPr>
          <w:rFonts w:cs="Arial"/>
        </w:rPr>
        <w:t>but</w:t>
      </w:r>
      <w:r w:rsidR="00567EFF">
        <w:rPr>
          <w:rFonts w:cs="Arial"/>
        </w:rPr>
        <w:t xml:space="preserve"> </w:t>
      </w:r>
      <w:r w:rsidR="00051277" w:rsidRPr="009471F5">
        <w:rPr>
          <w:rFonts w:cs="Arial"/>
        </w:rPr>
        <w:t>deriving a s</w:t>
      </w:r>
      <w:r w:rsidRPr="009471F5">
        <w:rPr>
          <w:rFonts w:cs="Arial"/>
        </w:rPr>
        <w:t xml:space="preserve">urplus </w:t>
      </w:r>
      <w:r w:rsidR="00051277" w:rsidRPr="009471F5">
        <w:rPr>
          <w:rFonts w:cs="Arial"/>
        </w:rPr>
        <w:t>w</w:t>
      </w:r>
      <w:r w:rsidRPr="009471F5">
        <w:rPr>
          <w:rFonts w:cs="Arial"/>
        </w:rPr>
        <w:t xml:space="preserve">hich will be used to fund future </w:t>
      </w:r>
      <w:proofErr w:type="gramStart"/>
      <w:r w:rsidRPr="009471F5">
        <w:rPr>
          <w:rFonts w:cs="Arial"/>
        </w:rPr>
        <w:t>counter</w:t>
      </w:r>
      <w:proofErr w:type="gramEnd"/>
      <w:r w:rsidRPr="009471F5">
        <w:rPr>
          <w:rFonts w:cs="Arial"/>
        </w:rPr>
        <w:t xml:space="preserve"> fraud initiatives.</w:t>
      </w:r>
    </w:p>
    <w:p w14:paraId="056ECCA0" w14:textId="77777777" w:rsidR="002421E5" w:rsidRPr="00465C44" w:rsidRDefault="002421E5" w:rsidP="002421E5">
      <w:pPr>
        <w:pStyle w:val="ListParagraph"/>
        <w:spacing w:before="120" w:after="120"/>
        <w:ind w:left="360"/>
        <w:rPr>
          <w:rFonts w:cs="Arial"/>
        </w:rPr>
      </w:pPr>
    </w:p>
    <w:p w14:paraId="06ACBEBD" w14:textId="77777777" w:rsidR="00A40937" w:rsidRPr="00E71032" w:rsidRDefault="00BD67DF" w:rsidP="009471F5">
      <w:pPr>
        <w:pStyle w:val="ListParagraph"/>
        <w:numPr>
          <w:ilvl w:val="0"/>
          <w:numId w:val="1"/>
        </w:numPr>
        <w:spacing w:before="120" w:after="120"/>
        <w:rPr>
          <w:rFonts w:cs="Arial"/>
        </w:rPr>
      </w:pPr>
      <w:r w:rsidRPr="00E71032">
        <w:rPr>
          <w:rFonts w:cs="Arial"/>
        </w:rPr>
        <w:t xml:space="preserve">Based on the </w:t>
      </w:r>
      <w:r w:rsidR="00465C44">
        <w:rPr>
          <w:rFonts w:cs="Arial"/>
        </w:rPr>
        <w:t xml:space="preserve">ongoing </w:t>
      </w:r>
      <w:r w:rsidRPr="00E71032">
        <w:rPr>
          <w:rFonts w:cs="Arial"/>
        </w:rPr>
        <w:t xml:space="preserve">success of the </w:t>
      </w:r>
      <w:r w:rsidR="00465C44">
        <w:rPr>
          <w:rFonts w:cs="Arial"/>
        </w:rPr>
        <w:t>conference</w:t>
      </w:r>
      <w:r w:rsidR="00FF647E">
        <w:rPr>
          <w:rFonts w:cs="Arial"/>
        </w:rPr>
        <w:t xml:space="preserve">, the </w:t>
      </w:r>
      <w:r w:rsidR="00465C44">
        <w:rPr>
          <w:rFonts w:cs="Arial"/>
        </w:rPr>
        <w:t xml:space="preserve">overwhelming </w:t>
      </w:r>
      <w:r w:rsidR="00FF647E">
        <w:rPr>
          <w:rFonts w:cs="Arial"/>
        </w:rPr>
        <w:t>positive feedback received and the reput</w:t>
      </w:r>
      <w:r w:rsidR="00465C44">
        <w:rPr>
          <w:rFonts w:cs="Arial"/>
        </w:rPr>
        <w:t>ation of the event as essential-</w:t>
      </w:r>
      <w:r w:rsidR="00FF647E">
        <w:rPr>
          <w:rFonts w:cs="Arial"/>
        </w:rPr>
        <w:t>to</w:t>
      </w:r>
      <w:r w:rsidR="00465C44">
        <w:rPr>
          <w:rFonts w:cs="Arial"/>
        </w:rPr>
        <w:t>-</w:t>
      </w:r>
      <w:r w:rsidR="00FF647E">
        <w:rPr>
          <w:rFonts w:cs="Arial"/>
        </w:rPr>
        <w:t xml:space="preserve">attend for those in the profession, </w:t>
      </w:r>
      <w:r w:rsidR="00465C44">
        <w:rPr>
          <w:rFonts w:cs="Arial"/>
        </w:rPr>
        <w:t xml:space="preserve">as well as </w:t>
      </w:r>
      <w:r w:rsidR="00665FB1">
        <w:rPr>
          <w:rFonts w:cs="Arial"/>
        </w:rPr>
        <w:t xml:space="preserve">the forming of </w:t>
      </w:r>
      <w:r w:rsidR="00465C44">
        <w:rPr>
          <w:rFonts w:cs="Arial"/>
        </w:rPr>
        <w:t>new</w:t>
      </w:r>
      <w:r w:rsidR="00FF647E">
        <w:rPr>
          <w:rFonts w:cs="Arial"/>
        </w:rPr>
        <w:t xml:space="preserve"> business relationships with partner organisations, </w:t>
      </w:r>
      <w:r w:rsidR="00465C44">
        <w:rPr>
          <w:rFonts w:cs="Arial"/>
        </w:rPr>
        <w:t xml:space="preserve">the team </w:t>
      </w:r>
      <w:r w:rsidR="00567EFF">
        <w:rPr>
          <w:rFonts w:cs="Arial"/>
        </w:rPr>
        <w:t xml:space="preserve">remains </w:t>
      </w:r>
      <w:r w:rsidR="00465C44">
        <w:rPr>
          <w:rFonts w:cs="Arial"/>
        </w:rPr>
        <w:t xml:space="preserve">committed to hosting the event annually with the next date set as </w:t>
      </w:r>
      <w:r w:rsidR="00567EFF">
        <w:rPr>
          <w:rFonts w:cs="Arial"/>
        </w:rPr>
        <w:t>24th</w:t>
      </w:r>
      <w:r w:rsidR="00502CA7">
        <w:rPr>
          <w:rFonts w:cs="Arial"/>
        </w:rPr>
        <w:t xml:space="preserve"> November 202</w:t>
      </w:r>
      <w:r w:rsidR="00567EFF">
        <w:rPr>
          <w:rFonts w:cs="Arial"/>
        </w:rPr>
        <w:t>1</w:t>
      </w:r>
      <w:r w:rsidR="00502CA7">
        <w:rPr>
          <w:rFonts w:cs="Arial"/>
        </w:rPr>
        <w:t>.</w:t>
      </w:r>
      <w:r w:rsidR="00665FB1">
        <w:rPr>
          <w:rFonts w:cs="Arial"/>
        </w:rPr>
        <w:t xml:space="preserve"> </w:t>
      </w:r>
      <w:r w:rsidR="00567EFF">
        <w:rPr>
          <w:rFonts w:cs="Arial"/>
        </w:rPr>
        <w:t xml:space="preserve">The 2021 will return to the Town Hall as a physical event. </w:t>
      </w:r>
    </w:p>
    <w:p w14:paraId="2C1E1D5F" w14:textId="77777777" w:rsidR="00A710FB" w:rsidRPr="00A42B08" w:rsidRDefault="00A710FB" w:rsidP="00A42B08">
      <w:pPr>
        <w:spacing w:before="120" w:after="120"/>
        <w:rPr>
          <w:rFonts w:cs="Arial"/>
        </w:rPr>
      </w:pPr>
      <w:r w:rsidRPr="00A42B08">
        <w:rPr>
          <w:rFonts w:cs="Arial"/>
        </w:rPr>
        <w:t xml:space="preserve"> </w:t>
      </w:r>
    </w:p>
    <w:p w14:paraId="1A598EA5" w14:textId="77777777" w:rsidR="00235785" w:rsidRDefault="00FC03A1" w:rsidP="00FC03A1">
      <w:pPr>
        <w:rPr>
          <w:rFonts w:cs="Arial"/>
          <w:b/>
        </w:rPr>
      </w:pPr>
      <w:r>
        <w:rPr>
          <w:rFonts w:cs="Arial"/>
          <w:b/>
        </w:rPr>
        <w:t xml:space="preserve">     Internal Investigations</w:t>
      </w:r>
    </w:p>
    <w:p w14:paraId="78C20E34" w14:textId="77777777" w:rsidR="002421E5" w:rsidRDefault="002421E5" w:rsidP="00FC03A1">
      <w:pPr>
        <w:rPr>
          <w:rFonts w:cs="Arial"/>
          <w:b/>
        </w:rPr>
      </w:pPr>
    </w:p>
    <w:p w14:paraId="47A7DEEB" w14:textId="77777777" w:rsidR="004929C0" w:rsidRDefault="00665FB1" w:rsidP="009471F5">
      <w:pPr>
        <w:pStyle w:val="ListParagraph"/>
        <w:numPr>
          <w:ilvl w:val="0"/>
          <w:numId w:val="1"/>
        </w:numPr>
        <w:rPr>
          <w:rFonts w:cs="Arial"/>
        </w:rPr>
      </w:pPr>
      <w:r w:rsidRPr="0051245F">
        <w:rPr>
          <w:rFonts w:cs="Arial"/>
          <w:b/>
        </w:rPr>
        <w:lastRenderedPageBreak/>
        <w:t xml:space="preserve">Appendix </w:t>
      </w:r>
      <w:r w:rsidR="0051245F" w:rsidRPr="0051245F">
        <w:rPr>
          <w:rFonts w:cs="Arial"/>
          <w:b/>
        </w:rPr>
        <w:t>1</w:t>
      </w:r>
      <w:r>
        <w:rPr>
          <w:rFonts w:cs="Arial"/>
        </w:rPr>
        <w:t xml:space="preserve"> details </w:t>
      </w:r>
      <w:r w:rsidR="002049AE">
        <w:rPr>
          <w:rFonts w:cs="Arial"/>
        </w:rPr>
        <w:t>staff investigations</w:t>
      </w:r>
      <w:r w:rsidR="004929C0">
        <w:rPr>
          <w:rFonts w:cs="Arial"/>
        </w:rPr>
        <w:t xml:space="preserve"> involving the Counter-Fraud team in the period.</w:t>
      </w:r>
      <w:r w:rsidR="00567EFF">
        <w:rPr>
          <w:rFonts w:cs="Arial"/>
        </w:rPr>
        <w:t xml:space="preserve"> </w:t>
      </w:r>
    </w:p>
    <w:p w14:paraId="0E1FCB4B" w14:textId="77777777" w:rsidR="00191A1B" w:rsidRDefault="00191A1B" w:rsidP="00790EA7">
      <w:pPr>
        <w:ind w:left="360"/>
        <w:rPr>
          <w:rFonts w:cs="Arial"/>
          <w:b/>
        </w:rPr>
      </w:pPr>
    </w:p>
    <w:p w14:paraId="74C6C1A0" w14:textId="77777777" w:rsidR="00A35036" w:rsidRDefault="00542C6B" w:rsidP="00790EA7">
      <w:pPr>
        <w:ind w:left="360"/>
        <w:rPr>
          <w:rFonts w:cs="Arial"/>
          <w:b/>
        </w:rPr>
      </w:pPr>
      <w:r>
        <w:rPr>
          <w:rFonts w:cs="Arial"/>
          <w:b/>
        </w:rPr>
        <w:t>Commercial Activity</w:t>
      </w:r>
    </w:p>
    <w:p w14:paraId="07FF1EF9" w14:textId="77777777" w:rsidR="002421E5" w:rsidRPr="00A35036" w:rsidRDefault="002421E5" w:rsidP="00790EA7">
      <w:pPr>
        <w:ind w:left="360"/>
        <w:rPr>
          <w:rFonts w:cs="Arial"/>
          <w:b/>
        </w:rPr>
      </w:pPr>
    </w:p>
    <w:p w14:paraId="6153F612" w14:textId="77777777" w:rsidR="00235785" w:rsidRDefault="00513ABE" w:rsidP="009471F5">
      <w:pPr>
        <w:pStyle w:val="ListParagraph"/>
        <w:numPr>
          <w:ilvl w:val="0"/>
          <w:numId w:val="1"/>
        </w:numPr>
        <w:rPr>
          <w:rFonts w:cs="Arial"/>
        </w:rPr>
      </w:pPr>
      <w:r>
        <w:rPr>
          <w:rFonts w:cs="Arial"/>
        </w:rPr>
        <w:t>Fraud</w:t>
      </w:r>
      <w:r w:rsidR="006E1D47">
        <w:rPr>
          <w:rFonts w:cs="Arial"/>
        </w:rPr>
        <w:t xml:space="preserve"> </w:t>
      </w:r>
      <w:r w:rsidR="00577436">
        <w:rPr>
          <w:rFonts w:cs="Arial"/>
        </w:rPr>
        <w:t>H</w:t>
      </w:r>
      <w:r w:rsidR="006E1D47">
        <w:rPr>
          <w:rFonts w:cs="Arial"/>
        </w:rPr>
        <w:t>ub working arrangements</w:t>
      </w:r>
      <w:r w:rsidR="005B7A29">
        <w:rPr>
          <w:rFonts w:cs="Arial"/>
        </w:rPr>
        <w:t xml:space="preserve"> </w:t>
      </w:r>
      <w:r w:rsidR="00790EA7">
        <w:rPr>
          <w:rFonts w:cs="Arial"/>
        </w:rPr>
        <w:t xml:space="preserve">remain in place with </w:t>
      </w:r>
      <w:r w:rsidR="00D96083">
        <w:rPr>
          <w:rFonts w:cs="Arial"/>
        </w:rPr>
        <w:t xml:space="preserve">services being </w:t>
      </w:r>
      <w:r w:rsidR="00A630FF">
        <w:rPr>
          <w:rFonts w:cs="Arial"/>
        </w:rPr>
        <w:t xml:space="preserve">contractually </w:t>
      </w:r>
      <w:r w:rsidR="00D96083">
        <w:rPr>
          <w:rFonts w:cs="Arial"/>
        </w:rPr>
        <w:t xml:space="preserve">provided to </w:t>
      </w:r>
      <w:r w:rsidR="00542C6B">
        <w:rPr>
          <w:rFonts w:cs="Arial"/>
        </w:rPr>
        <w:t xml:space="preserve">multiple partner organisations in the public </w:t>
      </w:r>
      <w:r w:rsidR="005437F1">
        <w:rPr>
          <w:rFonts w:cs="Arial"/>
        </w:rPr>
        <w:t xml:space="preserve">and private </w:t>
      </w:r>
      <w:r w:rsidR="00542C6B">
        <w:rPr>
          <w:rFonts w:cs="Arial"/>
        </w:rPr>
        <w:t xml:space="preserve">sector. Business development activity is embedded as part of the team culture </w:t>
      </w:r>
      <w:r w:rsidR="00CE3F98">
        <w:rPr>
          <w:rFonts w:cs="Arial"/>
        </w:rPr>
        <w:t>and efforts to bring new</w:t>
      </w:r>
      <w:r w:rsidR="00542C6B">
        <w:rPr>
          <w:rFonts w:cs="Arial"/>
        </w:rPr>
        <w:t xml:space="preserve"> partners on board </w:t>
      </w:r>
      <w:r w:rsidR="00D54FBA">
        <w:rPr>
          <w:rFonts w:cs="Arial"/>
        </w:rPr>
        <w:t xml:space="preserve">continued through the year. </w:t>
      </w:r>
    </w:p>
    <w:p w14:paraId="6D13F28B" w14:textId="77777777" w:rsidR="002421E5" w:rsidRDefault="002421E5" w:rsidP="00F855DE">
      <w:pPr>
        <w:pStyle w:val="ListParagraph"/>
        <w:ind w:left="360"/>
        <w:rPr>
          <w:rFonts w:cs="Arial"/>
        </w:rPr>
      </w:pPr>
    </w:p>
    <w:p w14:paraId="314CAED1" w14:textId="77777777" w:rsidR="00F855DE" w:rsidRDefault="00F855DE" w:rsidP="009471F5">
      <w:pPr>
        <w:pStyle w:val="ListParagraph"/>
        <w:numPr>
          <w:ilvl w:val="0"/>
          <w:numId w:val="1"/>
        </w:numPr>
        <w:rPr>
          <w:rFonts w:cs="Arial"/>
        </w:rPr>
      </w:pPr>
      <w:r w:rsidRPr="00311DCC">
        <w:rPr>
          <w:rFonts w:cs="Arial"/>
        </w:rPr>
        <w:t xml:space="preserve">The team is </w:t>
      </w:r>
      <w:r w:rsidR="002421E5" w:rsidRPr="00311DCC">
        <w:rPr>
          <w:rFonts w:cs="Arial"/>
        </w:rPr>
        <w:t xml:space="preserve">known </w:t>
      </w:r>
      <w:r w:rsidR="005437F1">
        <w:rPr>
          <w:rFonts w:cs="Arial"/>
        </w:rPr>
        <w:t xml:space="preserve">externally </w:t>
      </w:r>
      <w:r w:rsidR="002421E5" w:rsidRPr="00311DCC">
        <w:rPr>
          <w:rFonts w:cs="Arial"/>
        </w:rPr>
        <w:t>as</w:t>
      </w:r>
      <w:r w:rsidRPr="00311DCC">
        <w:rPr>
          <w:rFonts w:cs="Arial"/>
        </w:rPr>
        <w:t xml:space="preserve"> The Oxford Investigation Service and </w:t>
      </w:r>
      <w:r w:rsidR="005437F1">
        <w:rPr>
          <w:rFonts w:cs="Arial"/>
        </w:rPr>
        <w:t xml:space="preserve">it </w:t>
      </w:r>
      <w:r w:rsidRPr="00311DCC">
        <w:rPr>
          <w:rFonts w:cs="Arial"/>
        </w:rPr>
        <w:t>has a brochure</w:t>
      </w:r>
      <w:r w:rsidR="00DD2E07">
        <w:rPr>
          <w:rFonts w:cs="Arial"/>
        </w:rPr>
        <w:t>, dedicated website</w:t>
      </w:r>
      <w:r w:rsidRPr="00311DCC">
        <w:rPr>
          <w:rFonts w:cs="Arial"/>
        </w:rPr>
        <w:t xml:space="preserve"> and promotional materials to assist the objective of business development. </w:t>
      </w:r>
      <w:r w:rsidR="00DD2E07">
        <w:rPr>
          <w:rFonts w:cs="Arial"/>
        </w:rPr>
        <w:t xml:space="preserve">The website can be found at </w:t>
      </w:r>
      <w:hyperlink r:id="rId11" w:history="1">
        <w:r w:rsidR="00DD2E07" w:rsidRPr="005F055B">
          <w:rPr>
            <w:rStyle w:val="Hyperlink"/>
            <w:rFonts w:cs="Arial"/>
          </w:rPr>
          <w:t>www.oxfordinvestigationservice.co.uk</w:t>
        </w:r>
      </w:hyperlink>
    </w:p>
    <w:p w14:paraId="65DB4630" w14:textId="77777777" w:rsidR="00311DCC" w:rsidRPr="00311DCC" w:rsidRDefault="00311DCC" w:rsidP="00311DCC">
      <w:pPr>
        <w:rPr>
          <w:rFonts w:cs="Arial"/>
        </w:rPr>
      </w:pPr>
    </w:p>
    <w:p w14:paraId="28209D78" w14:textId="77777777" w:rsidR="00F855DE" w:rsidRPr="00E71032" w:rsidRDefault="00F855DE" w:rsidP="009471F5">
      <w:pPr>
        <w:pStyle w:val="ListParagraph"/>
        <w:numPr>
          <w:ilvl w:val="0"/>
          <w:numId w:val="1"/>
        </w:numPr>
        <w:rPr>
          <w:rFonts w:cs="Arial"/>
        </w:rPr>
      </w:pPr>
      <w:r w:rsidRPr="00E71032">
        <w:rPr>
          <w:rFonts w:cs="Arial"/>
        </w:rPr>
        <w:t xml:space="preserve">Promotional activity, in addition to the Oxford Open Day event, includes speaking slots at relevant conferences, mailshots, meetings </w:t>
      </w:r>
      <w:r w:rsidR="00311DCC">
        <w:rPr>
          <w:rFonts w:cs="Arial"/>
        </w:rPr>
        <w:t xml:space="preserve">with prospective clients </w:t>
      </w:r>
      <w:r w:rsidR="004672DE">
        <w:rPr>
          <w:rFonts w:cs="Arial"/>
        </w:rPr>
        <w:t xml:space="preserve">and </w:t>
      </w:r>
      <w:r w:rsidRPr="00E71032">
        <w:rPr>
          <w:rFonts w:cs="Arial"/>
        </w:rPr>
        <w:t>attending conferences as exhibitors with a dedicated trade stand.</w:t>
      </w:r>
      <w:r w:rsidR="005437F1">
        <w:rPr>
          <w:rFonts w:cs="Arial"/>
        </w:rPr>
        <w:t xml:space="preserve"> This activity was minimal during the period due to restrictions in place arising from the pandemic. </w:t>
      </w:r>
    </w:p>
    <w:p w14:paraId="0645CC01" w14:textId="77777777" w:rsidR="00DD2E07" w:rsidRDefault="00DD2E07" w:rsidP="00542C6B">
      <w:pPr>
        <w:ind w:left="360"/>
        <w:rPr>
          <w:rFonts w:cs="Arial"/>
        </w:rPr>
      </w:pPr>
    </w:p>
    <w:p w14:paraId="3EAFF9D0" w14:textId="77777777" w:rsidR="009D074A" w:rsidRPr="009471F5" w:rsidRDefault="00D81D56" w:rsidP="009471F5">
      <w:pPr>
        <w:pStyle w:val="ListParagraph"/>
        <w:numPr>
          <w:ilvl w:val="0"/>
          <w:numId w:val="1"/>
        </w:numPr>
        <w:tabs>
          <w:tab w:val="left" w:pos="709"/>
        </w:tabs>
        <w:rPr>
          <w:rFonts w:cs="Arial"/>
        </w:rPr>
      </w:pPr>
      <w:r w:rsidRPr="009471F5">
        <w:rPr>
          <w:rFonts w:cs="Arial"/>
        </w:rPr>
        <w:t>The increasing number of successful projects and activities delivered for</w:t>
      </w:r>
    </w:p>
    <w:p w14:paraId="000F63ED" w14:textId="77777777" w:rsidR="00D81D56" w:rsidRDefault="009D074A" w:rsidP="009D074A">
      <w:pPr>
        <w:tabs>
          <w:tab w:val="left" w:pos="426"/>
        </w:tabs>
        <w:rPr>
          <w:rFonts w:cs="Arial"/>
        </w:rPr>
      </w:pPr>
      <w:r>
        <w:rPr>
          <w:rFonts w:cs="Arial"/>
        </w:rPr>
        <w:tab/>
      </w:r>
      <w:r w:rsidR="00D81D56" w:rsidRPr="009D074A">
        <w:rPr>
          <w:rFonts w:cs="Arial"/>
        </w:rPr>
        <w:t xml:space="preserve">Oxford City Council has assisted in developing a range of services that </w:t>
      </w:r>
      <w:r>
        <w:rPr>
          <w:rFonts w:cs="Arial"/>
        </w:rPr>
        <w:tab/>
      </w:r>
      <w:r w:rsidR="00D81D56" w:rsidRPr="009D074A">
        <w:rPr>
          <w:rFonts w:cs="Arial"/>
        </w:rPr>
        <w:t>can be offered to partner organisations</w:t>
      </w:r>
      <w:r w:rsidR="00705CC1" w:rsidRPr="009D074A">
        <w:rPr>
          <w:rFonts w:cs="Arial"/>
        </w:rPr>
        <w:t xml:space="preserve"> and prospective clients</w:t>
      </w:r>
      <w:r w:rsidR="00D81D56" w:rsidRPr="009D074A">
        <w:rPr>
          <w:rFonts w:cs="Arial"/>
        </w:rPr>
        <w:t xml:space="preserve">. For </w:t>
      </w:r>
      <w:r>
        <w:rPr>
          <w:rFonts w:cs="Arial"/>
        </w:rPr>
        <w:tab/>
      </w:r>
      <w:r w:rsidR="00D81D56" w:rsidRPr="009D074A">
        <w:rPr>
          <w:rFonts w:cs="Arial"/>
        </w:rPr>
        <w:t xml:space="preserve">each marketable service, pricing options are </w:t>
      </w:r>
      <w:r w:rsidR="00705CC1" w:rsidRPr="009D074A">
        <w:rPr>
          <w:rFonts w:cs="Arial"/>
        </w:rPr>
        <w:t xml:space="preserve">developed with the </w:t>
      </w:r>
      <w:r>
        <w:rPr>
          <w:rFonts w:cs="Arial"/>
        </w:rPr>
        <w:tab/>
      </w:r>
      <w:r w:rsidR="00705CC1" w:rsidRPr="009D074A">
        <w:rPr>
          <w:rFonts w:cs="Arial"/>
        </w:rPr>
        <w:t xml:space="preserve">assistance of Financial Services Accountants to ensure compliance </w:t>
      </w:r>
      <w:r>
        <w:rPr>
          <w:rFonts w:cs="Arial"/>
        </w:rPr>
        <w:tab/>
      </w:r>
      <w:r w:rsidR="00705CC1" w:rsidRPr="009D074A">
        <w:rPr>
          <w:rFonts w:cs="Arial"/>
        </w:rPr>
        <w:t>with financial regulations, ethical trading, and financial feasibility.</w:t>
      </w:r>
    </w:p>
    <w:p w14:paraId="697939E3" w14:textId="77777777" w:rsidR="00DD2E07" w:rsidRDefault="00DD2E07" w:rsidP="009D074A">
      <w:pPr>
        <w:tabs>
          <w:tab w:val="left" w:pos="426"/>
        </w:tabs>
        <w:rPr>
          <w:rFonts w:cs="Arial"/>
        </w:rPr>
      </w:pPr>
    </w:p>
    <w:p w14:paraId="6AAE9B8C" w14:textId="77777777" w:rsidR="001F5EB0" w:rsidRDefault="001F5EB0" w:rsidP="001F5EB0">
      <w:pPr>
        <w:ind w:firstLine="360"/>
        <w:rPr>
          <w:rFonts w:cs="Arial"/>
          <w:b/>
        </w:rPr>
      </w:pPr>
      <w:r w:rsidRPr="001F5EB0">
        <w:rPr>
          <w:rFonts w:cs="Arial"/>
          <w:b/>
        </w:rPr>
        <w:t>Partnership Working</w:t>
      </w:r>
    </w:p>
    <w:p w14:paraId="4792286B" w14:textId="77777777" w:rsidR="002421E5" w:rsidRDefault="002421E5" w:rsidP="001F5EB0">
      <w:pPr>
        <w:ind w:firstLine="360"/>
        <w:rPr>
          <w:rFonts w:cs="Arial"/>
          <w:b/>
        </w:rPr>
      </w:pPr>
    </w:p>
    <w:p w14:paraId="4D25738D" w14:textId="77777777" w:rsidR="00311DCC" w:rsidRDefault="00311DCC" w:rsidP="009471F5">
      <w:pPr>
        <w:pStyle w:val="ListParagraph"/>
        <w:numPr>
          <w:ilvl w:val="0"/>
          <w:numId w:val="1"/>
        </w:numPr>
        <w:rPr>
          <w:rFonts w:cs="Arial"/>
        </w:rPr>
      </w:pPr>
      <w:r>
        <w:rPr>
          <w:rFonts w:cs="Arial"/>
        </w:rPr>
        <w:t xml:space="preserve">The </w:t>
      </w:r>
      <w:r w:rsidR="0073457F">
        <w:rPr>
          <w:rFonts w:cs="Arial"/>
        </w:rPr>
        <w:t>T</w:t>
      </w:r>
      <w:r>
        <w:rPr>
          <w:rFonts w:cs="Arial"/>
        </w:rPr>
        <w:t xml:space="preserve">eam provided Counter-Fraud and Investigation services to multiple client organisations </w:t>
      </w:r>
      <w:r w:rsidR="00E108BC">
        <w:rPr>
          <w:rFonts w:cs="Arial"/>
        </w:rPr>
        <w:t>during the financial year</w:t>
      </w:r>
      <w:r w:rsidR="00440973" w:rsidRPr="002421E5">
        <w:rPr>
          <w:rFonts w:cs="Arial"/>
        </w:rPr>
        <w:t>,</w:t>
      </w:r>
      <w:r w:rsidR="00440973">
        <w:rPr>
          <w:rFonts w:cs="Arial"/>
        </w:rPr>
        <w:t xml:space="preserve"> the result of which </w:t>
      </w:r>
      <w:r w:rsidR="00E108BC">
        <w:rPr>
          <w:rFonts w:cs="Arial"/>
        </w:rPr>
        <w:t>delivered</w:t>
      </w:r>
      <w:r w:rsidR="00DD2E07">
        <w:rPr>
          <w:rFonts w:cs="Arial"/>
        </w:rPr>
        <w:t xml:space="preserve"> an end-of-year trading income </w:t>
      </w:r>
      <w:proofErr w:type="gramStart"/>
      <w:r w:rsidR="00DD2E07">
        <w:rPr>
          <w:rFonts w:cs="Arial"/>
        </w:rPr>
        <w:t>of  £</w:t>
      </w:r>
      <w:proofErr w:type="gramEnd"/>
      <w:r w:rsidR="005437F1">
        <w:rPr>
          <w:rFonts w:cs="Arial"/>
        </w:rPr>
        <w:t>268</w:t>
      </w:r>
      <w:r w:rsidR="00DD2E07">
        <w:rPr>
          <w:rFonts w:cs="Arial"/>
        </w:rPr>
        <w:t>,</w:t>
      </w:r>
      <w:r w:rsidR="005437F1">
        <w:rPr>
          <w:rFonts w:cs="Arial"/>
        </w:rPr>
        <w:t>523</w:t>
      </w:r>
      <w:r w:rsidR="00005690">
        <w:rPr>
          <w:rFonts w:cs="Arial"/>
        </w:rPr>
        <w:t xml:space="preserve"> against a budgeted income of </w:t>
      </w:r>
      <w:r w:rsidR="00E17CB4">
        <w:rPr>
          <w:rFonts w:cs="Arial"/>
        </w:rPr>
        <w:t>£300,000</w:t>
      </w:r>
      <w:r>
        <w:rPr>
          <w:rFonts w:cs="Arial"/>
        </w:rPr>
        <w:t xml:space="preserve">. In the period, the </w:t>
      </w:r>
      <w:r w:rsidR="0073457F">
        <w:rPr>
          <w:rFonts w:cs="Arial"/>
        </w:rPr>
        <w:t>T</w:t>
      </w:r>
      <w:r>
        <w:rPr>
          <w:rFonts w:cs="Arial"/>
        </w:rPr>
        <w:t xml:space="preserve">eam </w:t>
      </w:r>
      <w:r w:rsidR="000A1F56">
        <w:rPr>
          <w:rFonts w:cs="Arial"/>
        </w:rPr>
        <w:t xml:space="preserve">has </w:t>
      </w:r>
      <w:r>
        <w:rPr>
          <w:rFonts w:cs="Arial"/>
        </w:rPr>
        <w:t xml:space="preserve">provided </w:t>
      </w:r>
      <w:r w:rsidR="00FD7B09">
        <w:rPr>
          <w:rFonts w:cs="Arial"/>
        </w:rPr>
        <w:t xml:space="preserve">either </w:t>
      </w:r>
      <w:r>
        <w:rPr>
          <w:rFonts w:cs="Arial"/>
        </w:rPr>
        <w:t>products and</w:t>
      </w:r>
      <w:r w:rsidR="00E108BC">
        <w:rPr>
          <w:rFonts w:cs="Arial"/>
        </w:rPr>
        <w:t xml:space="preserve"> / or</w:t>
      </w:r>
      <w:r>
        <w:rPr>
          <w:rFonts w:cs="Arial"/>
        </w:rPr>
        <w:t xml:space="preserve"> services to the following </w:t>
      </w:r>
      <w:r w:rsidR="000A1F56">
        <w:rPr>
          <w:rFonts w:cs="Arial"/>
        </w:rPr>
        <w:t>2</w:t>
      </w:r>
      <w:r w:rsidR="005437F1">
        <w:rPr>
          <w:rFonts w:cs="Arial"/>
        </w:rPr>
        <w:t>1</w:t>
      </w:r>
      <w:r w:rsidR="000A1F56">
        <w:rPr>
          <w:rFonts w:cs="Arial"/>
        </w:rPr>
        <w:t xml:space="preserve"> </w:t>
      </w:r>
      <w:r>
        <w:rPr>
          <w:rFonts w:cs="Arial"/>
        </w:rPr>
        <w:t>organisations:</w:t>
      </w:r>
    </w:p>
    <w:p w14:paraId="30CECA88" w14:textId="77777777" w:rsidR="00DD2E07" w:rsidRDefault="00DD2E07" w:rsidP="00B255A6">
      <w:pPr>
        <w:pStyle w:val="ListParagraph"/>
        <w:numPr>
          <w:ilvl w:val="0"/>
          <w:numId w:val="3"/>
        </w:numPr>
        <w:rPr>
          <w:rFonts w:cs="Arial"/>
        </w:rPr>
      </w:pPr>
      <w:proofErr w:type="spellStart"/>
      <w:r>
        <w:rPr>
          <w:rFonts w:cs="Arial"/>
        </w:rPr>
        <w:t>Altia</w:t>
      </w:r>
      <w:proofErr w:type="spellEnd"/>
      <w:r>
        <w:rPr>
          <w:rFonts w:cs="Arial"/>
        </w:rPr>
        <w:t xml:space="preserve"> Solutions</w:t>
      </w:r>
    </w:p>
    <w:p w14:paraId="083C82E0" w14:textId="77777777" w:rsidR="005437F1" w:rsidRDefault="005437F1" w:rsidP="00B255A6">
      <w:pPr>
        <w:pStyle w:val="ListParagraph"/>
        <w:numPr>
          <w:ilvl w:val="0"/>
          <w:numId w:val="3"/>
        </w:numPr>
        <w:rPr>
          <w:rFonts w:cs="Arial"/>
        </w:rPr>
      </w:pPr>
      <w:r>
        <w:rPr>
          <w:rFonts w:cs="Arial"/>
        </w:rPr>
        <w:t>Ascendant Solutions</w:t>
      </w:r>
    </w:p>
    <w:p w14:paraId="14757916" w14:textId="77777777" w:rsidR="005437F1" w:rsidRDefault="005437F1" w:rsidP="00B255A6">
      <w:pPr>
        <w:pStyle w:val="ListParagraph"/>
        <w:numPr>
          <w:ilvl w:val="0"/>
          <w:numId w:val="3"/>
        </w:numPr>
        <w:rPr>
          <w:rFonts w:cs="Arial"/>
        </w:rPr>
      </w:pPr>
      <w:r>
        <w:rPr>
          <w:rFonts w:cs="Arial"/>
        </w:rPr>
        <w:t>B4 Investigate</w:t>
      </w:r>
    </w:p>
    <w:p w14:paraId="79B2ECD2" w14:textId="77777777" w:rsidR="00665FB1" w:rsidRDefault="00665FB1" w:rsidP="00B255A6">
      <w:pPr>
        <w:pStyle w:val="ListParagraph"/>
        <w:numPr>
          <w:ilvl w:val="0"/>
          <w:numId w:val="3"/>
        </w:numPr>
        <w:rPr>
          <w:rFonts w:cs="Arial"/>
        </w:rPr>
      </w:pPr>
      <w:r>
        <w:rPr>
          <w:rFonts w:cs="Arial"/>
        </w:rPr>
        <w:t>Bracknell Forest Council</w:t>
      </w:r>
    </w:p>
    <w:p w14:paraId="60343E75" w14:textId="77777777" w:rsidR="00DD2E07" w:rsidRPr="00665FB1" w:rsidRDefault="00DD2E07" w:rsidP="00B255A6">
      <w:pPr>
        <w:pStyle w:val="ListParagraph"/>
        <w:numPr>
          <w:ilvl w:val="0"/>
          <w:numId w:val="3"/>
        </w:numPr>
        <w:rPr>
          <w:rFonts w:cs="Arial"/>
        </w:rPr>
      </w:pPr>
      <w:r w:rsidRPr="00665FB1">
        <w:rPr>
          <w:rFonts w:cs="Arial"/>
        </w:rPr>
        <w:t>Cherwell District Council</w:t>
      </w:r>
    </w:p>
    <w:p w14:paraId="4F4CE63F" w14:textId="77777777" w:rsidR="00DD2E07" w:rsidRDefault="00DD2E07" w:rsidP="00B255A6">
      <w:pPr>
        <w:pStyle w:val="ListParagraph"/>
        <w:numPr>
          <w:ilvl w:val="0"/>
          <w:numId w:val="3"/>
        </w:numPr>
        <w:rPr>
          <w:rFonts w:cs="Arial"/>
        </w:rPr>
      </w:pPr>
      <w:r w:rsidRPr="00DD2E07">
        <w:rPr>
          <w:rFonts w:cs="Arial"/>
        </w:rPr>
        <w:t>Destin Solutions Ltd</w:t>
      </w:r>
    </w:p>
    <w:p w14:paraId="5429CD43" w14:textId="77777777" w:rsidR="005437F1" w:rsidRDefault="005437F1" w:rsidP="00B255A6">
      <w:pPr>
        <w:pStyle w:val="ListParagraph"/>
        <w:numPr>
          <w:ilvl w:val="0"/>
          <w:numId w:val="3"/>
        </w:numPr>
        <w:rPr>
          <w:rFonts w:cs="Arial"/>
        </w:rPr>
      </w:pPr>
      <w:r>
        <w:rPr>
          <w:rFonts w:cs="Arial"/>
        </w:rPr>
        <w:t>East Staffordshire District Council</w:t>
      </w:r>
    </w:p>
    <w:p w14:paraId="62B45D07" w14:textId="77777777" w:rsidR="005437F1" w:rsidRPr="00DD2E07" w:rsidRDefault="005437F1" w:rsidP="00B255A6">
      <w:pPr>
        <w:pStyle w:val="ListParagraph"/>
        <w:numPr>
          <w:ilvl w:val="0"/>
          <w:numId w:val="3"/>
        </w:numPr>
        <w:rPr>
          <w:rFonts w:cs="Arial"/>
        </w:rPr>
      </w:pPr>
      <w:r>
        <w:rPr>
          <w:rFonts w:cs="Arial"/>
        </w:rPr>
        <w:t>Housing Plus Group</w:t>
      </w:r>
    </w:p>
    <w:p w14:paraId="3C61BFA4" w14:textId="77777777" w:rsidR="000A1F56" w:rsidRPr="000A1F56" w:rsidRDefault="000A1F56" w:rsidP="00B255A6">
      <w:pPr>
        <w:pStyle w:val="ListParagraph"/>
        <w:numPr>
          <w:ilvl w:val="0"/>
          <w:numId w:val="3"/>
        </w:numPr>
        <w:rPr>
          <w:rFonts w:cs="Arial"/>
        </w:rPr>
      </w:pPr>
      <w:r w:rsidRPr="000A1F56">
        <w:rPr>
          <w:rFonts w:cs="Arial"/>
        </w:rPr>
        <w:t>Intec for Business</w:t>
      </w:r>
    </w:p>
    <w:p w14:paraId="0D01D837" w14:textId="77777777" w:rsidR="000A1F56" w:rsidRPr="000A1F56" w:rsidRDefault="000A1F56" w:rsidP="00B255A6">
      <w:pPr>
        <w:pStyle w:val="ListParagraph"/>
        <w:numPr>
          <w:ilvl w:val="0"/>
          <w:numId w:val="3"/>
        </w:numPr>
        <w:rPr>
          <w:rFonts w:cs="Arial"/>
        </w:rPr>
      </w:pPr>
      <w:r w:rsidRPr="000A1F56">
        <w:rPr>
          <w:rFonts w:cs="Arial"/>
        </w:rPr>
        <w:t>ITS Training</w:t>
      </w:r>
    </w:p>
    <w:p w14:paraId="1AD05D18" w14:textId="77777777" w:rsidR="000A1F56" w:rsidRDefault="000A1F56" w:rsidP="00B255A6">
      <w:pPr>
        <w:pStyle w:val="ListParagraph"/>
        <w:numPr>
          <w:ilvl w:val="0"/>
          <w:numId w:val="3"/>
        </w:numPr>
        <w:rPr>
          <w:rFonts w:cs="Arial"/>
        </w:rPr>
      </w:pPr>
      <w:r w:rsidRPr="000A1F56">
        <w:rPr>
          <w:rFonts w:cs="Arial"/>
        </w:rPr>
        <w:t>Peter Darby Associates</w:t>
      </w:r>
    </w:p>
    <w:p w14:paraId="46903484" w14:textId="77777777" w:rsidR="00696543" w:rsidRDefault="00696543" w:rsidP="00B255A6">
      <w:pPr>
        <w:pStyle w:val="ListParagraph"/>
        <w:numPr>
          <w:ilvl w:val="0"/>
          <w:numId w:val="3"/>
        </w:numPr>
        <w:rPr>
          <w:rFonts w:cs="Arial"/>
        </w:rPr>
      </w:pPr>
      <w:r>
        <w:rPr>
          <w:rFonts w:cs="Arial"/>
        </w:rPr>
        <w:t xml:space="preserve">Red Kite </w:t>
      </w:r>
      <w:r w:rsidR="005437F1">
        <w:rPr>
          <w:rFonts w:cs="Arial"/>
        </w:rPr>
        <w:t>Community H</w:t>
      </w:r>
      <w:r>
        <w:rPr>
          <w:rFonts w:cs="Arial"/>
        </w:rPr>
        <w:t>ousing</w:t>
      </w:r>
    </w:p>
    <w:p w14:paraId="253B7AC8" w14:textId="77777777" w:rsidR="005437F1" w:rsidRPr="000A1F56" w:rsidRDefault="005437F1" w:rsidP="00B255A6">
      <w:pPr>
        <w:pStyle w:val="ListParagraph"/>
        <w:numPr>
          <w:ilvl w:val="0"/>
          <w:numId w:val="3"/>
        </w:numPr>
        <w:rPr>
          <w:rFonts w:cs="Arial"/>
        </w:rPr>
      </w:pPr>
      <w:r>
        <w:rPr>
          <w:rFonts w:cs="Arial"/>
        </w:rPr>
        <w:t>Reigate and Banstead Borough Council</w:t>
      </w:r>
    </w:p>
    <w:p w14:paraId="75E2016D" w14:textId="77777777" w:rsidR="000A1F56" w:rsidRDefault="000A1F56" w:rsidP="00B255A6">
      <w:pPr>
        <w:pStyle w:val="ListParagraph"/>
        <w:numPr>
          <w:ilvl w:val="0"/>
          <w:numId w:val="3"/>
        </w:numPr>
        <w:rPr>
          <w:rFonts w:cs="Arial"/>
        </w:rPr>
      </w:pPr>
      <w:r w:rsidRPr="000A1F56">
        <w:rPr>
          <w:rFonts w:cs="Arial"/>
        </w:rPr>
        <w:lastRenderedPageBreak/>
        <w:t>Riverside Housing Association</w:t>
      </w:r>
    </w:p>
    <w:p w14:paraId="7A5DAA54" w14:textId="77777777" w:rsidR="000A1F56" w:rsidRDefault="000A1F56" w:rsidP="00B255A6">
      <w:pPr>
        <w:pStyle w:val="ListParagraph"/>
        <w:numPr>
          <w:ilvl w:val="0"/>
          <w:numId w:val="3"/>
        </w:numPr>
        <w:rPr>
          <w:rFonts w:cs="Arial"/>
        </w:rPr>
      </w:pPr>
      <w:r w:rsidRPr="000A1F56">
        <w:rPr>
          <w:rFonts w:cs="Arial"/>
        </w:rPr>
        <w:t>Slough Borough Council</w:t>
      </w:r>
    </w:p>
    <w:p w14:paraId="765C62E8" w14:textId="77777777" w:rsidR="000A1F56" w:rsidRPr="000A1F56" w:rsidRDefault="000A1F56" w:rsidP="00B255A6">
      <w:pPr>
        <w:pStyle w:val="ListParagraph"/>
        <w:numPr>
          <w:ilvl w:val="0"/>
          <w:numId w:val="3"/>
        </w:numPr>
        <w:rPr>
          <w:rFonts w:cs="Arial"/>
        </w:rPr>
      </w:pPr>
      <w:r w:rsidRPr="000A1F56">
        <w:rPr>
          <w:rFonts w:cs="Arial"/>
        </w:rPr>
        <w:t>South Northamptonshire Council</w:t>
      </w:r>
    </w:p>
    <w:p w14:paraId="514B4B00" w14:textId="77777777" w:rsidR="005437F1" w:rsidRDefault="005437F1" w:rsidP="00B255A6">
      <w:pPr>
        <w:pStyle w:val="ListParagraph"/>
        <w:numPr>
          <w:ilvl w:val="0"/>
          <w:numId w:val="3"/>
        </w:numPr>
        <w:rPr>
          <w:rFonts w:cs="Arial"/>
        </w:rPr>
      </w:pPr>
      <w:r>
        <w:rPr>
          <w:rFonts w:cs="Arial"/>
        </w:rPr>
        <w:t xml:space="preserve">Team </w:t>
      </w:r>
      <w:proofErr w:type="spellStart"/>
      <w:r>
        <w:rPr>
          <w:rFonts w:cs="Arial"/>
        </w:rPr>
        <w:t>Netsol</w:t>
      </w:r>
      <w:proofErr w:type="spellEnd"/>
    </w:p>
    <w:p w14:paraId="50892E6B" w14:textId="77777777" w:rsidR="005437F1" w:rsidRDefault="005437F1" w:rsidP="00B255A6">
      <w:pPr>
        <w:pStyle w:val="ListParagraph"/>
        <w:numPr>
          <w:ilvl w:val="0"/>
          <w:numId w:val="3"/>
        </w:numPr>
        <w:rPr>
          <w:rFonts w:cs="Arial"/>
        </w:rPr>
      </w:pPr>
      <w:r>
        <w:rPr>
          <w:rFonts w:cs="Arial"/>
        </w:rPr>
        <w:t>Technology4Business</w:t>
      </w:r>
    </w:p>
    <w:p w14:paraId="39C69C88" w14:textId="77777777" w:rsidR="000A1F56" w:rsidRPr="000A1F56" w:rsidRDefault="000A1F56" w:rsidP="00B255A6">
      <w:pPr>
        <w:pStyle w:val="ListParagraph"/>
        <w:numPr>
          <w:ilvl w:val="0"/>
          <w:numId w:val="3"/>
        </w:numPr>
        <w:rPr>
          <w:rFonts w:cs="Arial"/>
        </w:rPr>
      </w:pPr>
      <w:r w:rsidRPr="000A1F56">
        <w:rPr>
          <w:rFonts w:cs="Arial"/>
        </w:rPr>
        <w:t>Trust ID</w:t>
      </w:r>
    </w:p>
    <w:p w14:paraId="136FE932" w14:textId="77777777" w:rsidR="00440973" w:rsidRDefault="00DD2E07" w:rsidP="00B255A6">
      <w:pPr>
        <w:pStyle w:val="ListParagraph"/>
        <w:numPr>
          <w:ilvl w:val="0"/>
          <w:numId w:val="3"/>
        </w:numPr>
        <w:rPr>
          <w:rFonts w:cs="Arial"/>
        </w:rPr>
      </w:pPr>
      <w:r>
        <w:rPr>
          <w:rFonts w:cs="Arial"/>
        </w:rPr>
        <w:t>Wandle Housing</w:t>
      </w:r>
    </w:p>
    <w:p w14:paraId="4751EA32" w14:textId="77777777" w:rsidR="00440973" w:rsidRDefault="00440973" w:rsidP="00B255A6">
      <w:pPr>
        <w:pStyle w:val="ListParagraph"/>
        <w:numPr>
          <w:ilvl w:val="0"/>
          <w:numId w:val="3"/>
        </w:numPr>
        <w:rPr>
          <w:rFonts w:cs="Arial"/>
        </w:rPr>
      </w:pPr>
      <w:r>
        <w:rPr>
          <w:rFonts w:cs="Arial"/>
        </w:rPr>
        <w:t>Warwick District Council</w:t>
      </w:r>
    </w:p>
    <w:p w14:paraId="2C92617F" w14:textId="77777777" w:rsidR="00355099" w:rsidRDefault="00355099" w:rsidP="00355099">
      <w:pPr>
        <w:rPr>
          <w:rFonts w:cs="Arial"/>
        </w:rPr>
      </w:pPr>
    </w:p>
    <w:p w14:paraId="06B31D1B" w14:textId="77777777" w:rsidR="00355099" w:rsidRPr="00355099" w:rsidRDefault="00355099" w:rsidP="009471F5">
      <w:pPr>
        <w:pStyle w:val="ListParagraph"/>
        <w:numPr>
          <w:ilvl w:val="0"/>
          <w:numId w:val="1"/>
        </w:numPr>
        <w:rPr>
          <w:rFonts w:cs="Arial"/>
        </w:rPr>
      </w:pPr>
      <w:r>
        <w:rPr>
          <w:rFonts w:cs="Arial"/>
        </w:rPr>
        <w:t xml:space="preserve"> In the process of delivering Counter Fraud services to partner organisations, the Oxford Investigation Service have identified fraud and financial i</w:t>
      </w:r>
      <w:r w:rsidR="009E389A">
        <w:rPr>
          <w:rFonts w:cs="Arial"/>
        </w:rPr>
        <w:t>rregularity to the value of £1.6</w:t>
      </w:r>
      <w:r>
        <w:rPr>
          <w:rFonts w:cs="Arial"/>
        </w:rPr>
        <w:t>m during the financial year, made up of £</w:t>
      </w:r>
      <w:r w:rsidR="009E389A">
        <w:rPr>
          <w:rFonts w:cs="Arial"/>
        </w:rPr>
        <w:t>825</w:t>
      </w:r>
      <w:r>
        <w:rPr>
          <w:rFonts w:cs="Arial"/>
        </w:rPr>
        <w:t>k in additional revenue and £</w:t>
      </w:r>
      <w:r w:rsidR="009E389A">
        <w:rPr>
          <w:rFonts w:cs="Arial"/>
        </w:rPr>
        <w:t>797</w:t>
      </w:r>
      <w:r>
        <w:rPr>
          <w:rFonts w:cs="Arial"/>
        </w:rPr>
        <w:t xml:space="preserve">k in prevented fraud losses. In addition, a full suite of services were delivered </w:t>
      </w:r>
      <w:r w:rsidR="00677435">
        <w:rPr>
          <w:rFonts w:cs="Arial"/>
        </w:rPr>
        <w:t xml:space="preserve">externally </w:t>
      </w:r>
      <w:r>
        <w:rPr>
          <w:rFonts w:cs="Arial"/>
        </w:rPr>
        <w:t xml:space="preserve">including training, fraud risk assessments, quality assurance, consultancy, empty property reviews, </w:t>
      </w:r>
      <w:r w:rsidR="00677435">
        <w:rPr>
          <w:rFonts w:cs="Arial"/>
        </w:rPr>
        <w:t>tenancy audits, intelligence and due diligence provision.</w:t>
      </w:r>
    </w:p>
    <w:p w14:paraId="207051BA" w14:textId="77777777" w:rsidR="004A1F3A" w:rsidRPr="004A1F3A" w:rsidRDefault="004A1F3A" w:rsidP="004A1F3A">
      <w:pPr>
        <w:rPr>
          <w:rFonts w:cs="Arial"/>
        </w:rPr>
      </w:pPr>
    </w:p>
    <w:p w14:paraId="0FFC19E6" w14:textId="77777777" w:rsidR="001F5EB0" w:rsidRDefault="00920E07" w:rsidP="009471F5">
      <w:pPr>
        <w:pStyle w:val="ListParagraph"/>
        <w:numPr>
          <w:ilvl w:val="0"/>
          <w:numId w:val="1"/>
        </w:numPr>
        <w:rPr>
          <w:rFonts w:cs="Arial"/>
        </w:rPr>
      </w:pPr>
      <w:r w:rsidRPr="004B3B92">
        <w:rPr>
          <w:rFonts w:cs="Arial"/>
        </w:rPr>
        <w:t xml:space="preserve">The </w:t>
      </w:r>
      <w:r w:rsidR="0073457F" w:rsidRPr="004B3B92">
        <w:rPr>
          <w:rFonts w:cs="Arial"/>
        </w:rPr>
        <w:t>T</w:t>
      </w:r>
      <w:r w:rsidRPr="004B3B92">
        <w:rPr>
          <w:rFonts w:cs="Arial"/>
        </w:rPr>
        <w:t>eam ha</w:t>
      </w:r>
      <w:r w:rsidR="004B3B92" w:rsidRPr="004B3B92">
        <w:rPr>
          <w:rFonts w:cs="Arial"/>
        </w:rPr>
        <w:t>ve</w:t>
      </w:r>
      <w:r w:rsidRPr="004B3B92">
        <w:rPr>
          <w:rFonts w:cs="Arial"/>
        </w:rPr>
        <w:t xml:space="preserve"> been the</w:t>
      </w:r>
      <w:r w:rsidRPr="00920E07">
        <w:rPr>
          <w:rFonts w:cs="Arial"/>
        </w:rPr>
        <w:t xml:space="preserve"> sole provider of Counter Fraud services to Warwick Distr</w:t>
      </w:r>
      <w:r>
        <w:rPr>
          <w:rFonts w:cs="Arial"/>
        </w:rPr>
        <w:t xml:space="preserve">ict Council (WDC) since February 2017. After the </w:t>
      </w:r>
      <w:r w:rsidR="004B3B92">
        <w:rPr>
          <w:rFonts w:cs="Arial"/>
        </w:rPr>
        <w:t xml:space="preserve">initial </w:t>
      </w:r>
      <w:r>
        <w:rPr>
          <w:rFonts w:cs="Arial"/>
        </w:rPr>
        <w:t>12 month contract concluded, WDC again commissioned the Oxford Investigation Service under a new 3 year contract, commencing</w:t>
      </w:r>
      <w:r w:rsidR="00022CC2">
        <w:rPr>
          <w:rFonts w:cs="Arial"/>
        </w:rPr>
        <w:t xml:space="preserve"> </w:t>
      </w:r>
      <w:r>
        <w:rPr>
          <w:rFonts w:cs="Arial"/>
        </w:rPr>
        <w:t xml:space="preserve">April 2018, to provide the capability over a longer term arrangement. </w:t>
      </w:r>
      <w:r w:rsidR="00022CC2">
        <w:rPr>
          <w:rFonts w:cs="Arial"/>
        </w:rPr>
        <w:t xml:space="preserve">This arrangement continues </w:t>
      </w:r>
      <w:r w:rsidR="004B3B92">
        <w:rPr>
          <w:rFonts w:cs="Arial"/>
        </w:rPr>
        <w:t>through to the end of March 2021 when ongoing arrangements will be subject to review.</w:t>
      </w:r>
    </w:p>
    <w:p w14:paraId="557A516A" w14:textId="77777777" w:rsidR="00920E07" w:rsidRPr="00920E07" w:rsidRDefault="00920E07" w:rsidP="00920E07">
      <w:pPr>
        <w:rPr>
          <w:rFonts w:cs="Arial"/>
        </w:rPr>
      </w:pPr>
    </w:p>
    <w:p w14:paraId="50922693" w14:textId="77777777" w:rsidR="009209FE" w:rsidRDefault="0035344D" w:rsidP="009471F5">
      <w:pPr>
        <w:pStyle w:val="ListParagraph"/>
        <w:numPr>
          <w:ilvl w:val="0"/>
          <w:numId w:val="1"/>
        </w:numPr>
        <w:rPr>
          <w:rFonts w:cs="Arial"/>
        </w:rPr>
      </w:pPr>
      <w:r w:rsidRPr="009471F5">
        <w:rPr>
          <w:rFonts w:cs="Arial"/>
        </w:rPr>
        <w:t xml:space="preserve">In 2018, the </w:t>
      </w:r>
      <w:r w:rsidR="0073457F" w:rsidRPr="009471F5">
        <w:rPr>
          <w:rFonts w:cs="Arial"/>
        </w:rPr>
        <w:t>T</w:t>
      </w:r>
      <w:r w:rsidRPr="009471F5">
        <w:rPr>
          <w:rFonts w:cs="Arial"/>
        </w:rPr>
        <w:t>eam was commissioned to become the sole provider of C</w:t>
      </w:r>
      <w:r w:rsidR="00022CC2" w:rsidRPr="009471F5">
        <w:rPr>
          <w:rFonts w:cs="Arial"/>
        </w:rPr>
        <w:t xml:space="preserve">ounter Fraud services for Cherwell District Council </w:t>
      </w:r>
      <w:r w:rsidR="0021369D" w:rsidRPr="009471F5">
        <w:rPr>
          <w:rFonts w:cs="Arial"/>
        </w:rPr>
        <w:t xml:space="preserve">(CDC) </w:t>
      </w:r>
      <w:r w:rsidR="00022CC2" w:rsidRPr="009471F5">
        <w:rPr>
          <w:rFonts w:cs="Arial"/>
        </w:rPr>
        <w:t>and South Northants Councils</w:t>
      </w:r>
      <w:r w:rsidRPr="009471F5">
        <w:rPr>
          <w:rFonts w:cs="Arial"/>
        </w:rPr>
        <w:t xml:space="preserve"> (SN</w:t>
      </w:r>
      <w:r w:rsidR="0021369D" w:rsidRPr="009471F5">
        <w:rPr>
          <w:rFonts w:cs="Arial"/>
        </w:rPr>
        <w:t>C</w:t>
      </w:r>
      <w:r w:rsidRPr="009471F5">
        <w:rPr>
          <w:rFonts w:cs="Arial"/>
        </w:rPr>
        <w:t xml:space="preserve">). </w:t>
      </w:r>
      <w:r w:rsidR="0021369D" w:rsidRPr="009471F5">
        <w:rPr>
          <w:rFonts w:cs="Arial"/>
        </w:rPr>
        <w:t xml:space="preserve">The </w:t>
      </w:r>
      <w:r w:rsidR="001443A2" w:rsidRPr="009471F5">
        <w:rPr>
          <w:rFonts w:cs="Arial"/>
        </w:rPr>
        <w:t>partnership working</w:t>
      </w:r>
      <w:r w:rsidR="0021369D" w:rsidRPr="009471F5">
        <w:rPr>
          <w:rFonts w:cs="Arial"/>
        </w:rPr>
        <w:t xml:space="preserve"> arrangements between the authorities dissolved in </w:t>
      </w:r>
      <w:r w:rsidR="001443A2" w:rsidRPr="009471F5">
        <w:rPr>
          <w:rFonts w:cs="Arial"/>
        </w:rPr>
        <w:t xml:space="preserve">mid-2019 but the supply of counter-fraud services continued through to July 2020. After this point, separate agreements were put in place </w:t>
      </w:r>
      <w:r w:rsidR="009749B2">
        <w:rPr>
          <w:rFonts w:cs="Arial"/>
        </w:rPr>
        <w:t xml:space="preserve">for both authorities </w:t>
      </w:r>
      <w:r w:rsidR="001443A2" w:rsidRPr="009471F5">
        <w:rPr>
          <w:rFonts w:cs="Arial"/>
        </w:rPr>
        <w:t>for ongoing service supply into 2021.</w:t>
      </w:r>
    </w:p>
    <w:p w14:paraId="11DEB1CB" w14:textId="77777777" w:rsidR="007E26AE" w:rsidRDefault="007E26AE" w:rsidP="007E26AE">
      <w:pPr>
        <w:rPr>
          <w:rFonts w:cs="Arial"/>
        </w:rPr>
      </w:pPr>
    </w:p>
    <w:p w14:paraId="27576ACD" w14:textId="77777777" w:rsidR="007E26AE" w:rsidRDefault="007E26AE" w:rsidP="007E26AE">
      <w:pPr>
        <w:pStyle w:val="ListParagraph"/>
        <w:numPr>
          <w:ilvl w:val="0"/>
          <w:numId w:val="1"/>
        </w:numPr>
        <w:rPr>
          <w:rFonts w:cs="Arial"/>
        </w:rPr>
      </w:pPr>
      <w:r>
        <w:rPr>
          <w:rFonts w:cs="Arial"/>
        </w:rPr>
        <w:t xml:space="preserve">At the end of the period, the contract for supply of service to CDC concluded and a decision was taken </w:t>
      </w:r>
      <w:r w:rsidR="00EA05D8">
        <w:rPr>
          <w:rFonts w:cs="Arial"/>
        </w:rPr>
        <w:t xml:space="preserve">by CDC </w:t>
      </w:r>
      <w:r>
        <w:rPr>
          <w:rFonts w:cs="Arial"/>
        </w:rPr>
        <w:t xml:space="preserve">not to renew. Instead, CDC aligned its counter-fraud response </w:t>
      </w:r>
      <w:r w:rsidR="002A4E42">
        <w:rPr>
          <w:rFonts w:cs="Arial"/>
        </w:rPr>
        <w:t>to the shared Audit arrangement</w:t>
      </w:r>
      <w:r w:rsidR="00AB2800">
        <w:rPr>
          <w:rFonts w:cs="Arial"/>
        </w:rPr>
        <w:t>s</w:t>
      </w:r>
      <w:r w:rsidR="002A4E42">
        <w:rPr>
          <w:rFonts w:cs="Arial"/>
        </w:rPr>
        <w:t xml:space="preserve"> </w:t>
      </w:r>
      <w:r>
        <w:rPr>
          <w:rFonts w:cs="Arial"/>
        </w:rPr>
        <w:t xml:space="preserve">that </w:t>
      </w:r>
      <w:r w:rsidR="002A4E42">
        <w:rPr>
          <w:rFonts w:cs="Arial"/>
        </w:rPr>
        <w:t xml:space="preserve">are </w:t>
      </w:r>
      <w:r>
        <w:rPr>
          <w:rFonts w:cs="Arial"/>
        </w:rPr>
        <w:t>in place with Oxfordshire County Council.</w:t>
      </w:r>
    </w:p>
    <w:p w14:paraId="5FA8FAD6" w14:textId="77777777" w:rsidR="007E26AE" w:rsidRDefault="007E26AE" w:rsidP="007E26AE">
      <w:pPr>
        <w:rPr>
          <w:rFonts w:cs="Arial"/>
        </w:rPr>
      </w:pPr>
    </w:p>
    <w:p w14:paraId="70ABBEB4" w14:textId="77777777" w:rsidR="007E26AE" w:rsidRPr="007E26AE" w:rsidRDefault="005E6162" w:rsidP="007E26AE">
      <w:pPr>
        <w:pStyle w:val="ListParagraph"/>
        <w:numPr>
          <w:ilvl w:val="0"/>
          <w:numId w:val="1"/>
        </w:numPr>
        <w:rPr>
          <w:rFonts w:cs="Arial"/>
        </w:rPr>
      </w:pPr>
      <w:r>
        <w:rPr>
          <w:rFonts w:cs="Arial"/>
        </w:rPr>
        <w:t xml:space="preserve">At the end of the period, South Northamptonshire Council merged with Northampton and Daventry Councils to become </w:t>
      </w:r>
      <w:r w:rsidR="000644C5">
        <w:rPr>
          <w:rFonts w:cs="Arial"/>
        </w:rPr>
        <w:t>West Northamptonshire Council. The contract for supplying counter-fraud services was moved over to the new authority under the existing terms, due to be reviewed mid-July 2021.</w:t>
      </w:r>
    </w:p>
    <w:p w14:paraId="07BFECDD" w14:textId="77777777" w:rsidR="007E26AE" w:rsidRDefault="007E26AE" w:rsidP="007E26AE">
      <w:pPr>
        <w:rPr>
          <w:rFonts w:cs="Arial"/>
        </w:rPr>
      </w:pPr>
    </w:p>
    <w:p w14:paraId="68EE9C4B" w14:textId="77777777" w:rsidR="007E26AE" w:rsidRPr="007E26AE" w:rsidRDefault="007E26AE" w:rsidP="007E26AE">
      <w:pPr>
        <w:rPr>
          <w:rFonts w:cs="Arial"/>
        </w:rPr>
      </w:pPr>
    </w:p>
    <w:p w14:paraId="24EEEA6D" w14:textId="77777777" w:rsidR="007E26AE" w:rsidRDefault="007E26AE" w:rsidP="007E26AE">
      <w:pPr>
        <w:rPr>
          <w:rFonts w:cs="Arial"/>
        </w:rPr>
      </w:pPr>
    </w:p>
    <w:p w14:paraId="7CA410C4" w14:textId="77777777" w:rsidR="007E26AE" w:rsidRPr="007E26AE" w:rsidRDefault="007E26AE" w:rsidP="007E26AE">
      <w:pPr>
        <w:rPr>
          <w:rFonts w:cs="Arial"/>
        </w:rPr>
      </w:pPr>
    </w:p>
    <w:p w14:paraId="3D241FBF" w14:textId="77777777" w:rsidR="004B3B92" w:rsidRDefault="004B3B92" w:rsidP="0021369D">
      <w:pPr>
        <w:ind w:left="426"/>
        <w:rPr>
          <w:rFonts w:cs="Arial"/>
        </w:rPr>
      </w:pPr>
    </w:p>
    <w:p w14:paraId="2DE2B5A2" w14:textId="77777777" w:rsidR="00446ACB" w:rsidRDefault="00AA1D4C" w:rsidP="009471F5">
      <w:pPr>
        <w:pStyle w:val="ListParagraph"/>
        <w:numPr>
          <w:ilvl w:val="0"/>
          <w:numId w:val="1"/>
        </w:numPr>
        <w:rPr>
          <w:rFonts w:cs="Arial"/>
        </w:rPr>
      </w:pPr>
      <w:r w:rsidRPr="00446ACB">
        <w:rPr>
          <w:rFonts w:cs="Arial"/>
        </w:rPr>
        <w:t xml:space="preserve">In late 2019, the Team formulated a new partnership working arrangement with Reigate and Banstead Borough Council (RBBC). This evolved after </w:t>
      </w:r>
      <w:r w:rsidRPr="00446ACB">
        <w:rPr>
          <w:rFonts w:cs="Arial"/>
        </w:rPr>
        <w:lastRenderedPageBreak/>
        <w:t>the Counter Fraud Team of RBBC won the IRRV’s Excellence in Counter Fraud Award 2019. Pooling resources, experience and expertise with another award winning team further enhances the capability, resilience and geographical reach of th</w:t>
      </w:r>
      <w:r w:rsidR="003267D8">
        <w:rPr>
          <w:rFonts w:cs="Arial"/>
        </w:rPr>
        <w:t>e Oxford Investigation Service and moves the team to a true shared-services dynamic.</w:t>
      </w:r>
    </w:p>
    <w:p w14:paraId="6D5EDA1F" w14:textId="77777777" w:rsidR="009E389A" w:rsidRDefault="009E389A" w:rsidP="009E389A">
      <w:pPr>
        <w:rPr>
          <w:rFonts w:cs="Arial"/>
        </w:rPr>
      </w:pPr>
    </w:p>
    <w:p w14:paraId="6AE2C208" w14:textId="77777777" w:rsidR="009E389A" w:rsidRPr="009E389A" w:rsidRDefault="009E389A" w:rsidP="009E389A">
      <w:pPr>
        <w:pStyle w:val="ListParagraph"/>
        <w:numPr>
          <w:ilvl w:val="0"/>
          <w:numId w:val="1"/>
        </w:numPr>
        <w:rPr>
          <w:rFonts w:cs="Arial"/>
        </w:rPr>
      </w:pPr>
      <w:r>
        <w:rPr>
          <w:rFonts w:cs="Arial"/>
        </w:rPr>
        <w:t>Partnership working with RBBC was prevalent throughout the financial year with a number of proactive projects</w:t>
      </w:r>
      <w:r w:rsidR="0026746D">
        <w:rPr>
          <w:rFonts w:cs="Arial"/>
        </w:rPr>
        <w:t>, involving officers from both organisations,</w:t>
      </w:r>
      <w:r>
        <w:rPr>
          <w:rFonts w:cs="Arial"/>
        </w:rPr>
        <w:t xml:space="preserve"> </w:t>
      </w:r>
      <w:r w:rsidR="007E26AE">
        <w:rPr>
          <w:rFonts w:cs="Arial"/>
        </w:rPr>
        <w:t xml:space="preserve">working together </w:t>
      </w:r>
      <w:r>
        <w:rPr>
          <w:rFonts w:cs="Arial"/>
        </w:rPr>
        <w:t xml:space="preserve">in various parts of the country including Kent, Hertfordshire and </w:t>
      </w:r>
      <w:r w:rsidR="0026746D">
        <w:rPr>
          <w:rFonts w:cs="Arial"/>
        </w:rPr>
        <w:t>West Bromwich.</w:t>
      </w:r>
      <w:r w:rsidR="003267D8">
        <w:rPr>
          <w:rFonts w:cs="Arial"/>
        </w:rPr>
        <w:t xml:space="preserve"> Further partnership working is planned throughout the year 2021-22.</w:t>
      </w:r>
    </w:p>
    <w:p w14:paraId="183AA6F8" w14:textId="77777777" w:rsidR="00446ACB" w:rsidRPr="00446ACB" w:rsidRDefault="00446ACB" w:rsidP="00446ACB">
      <w:pPr>
        <w:rPr>
          <w:rFonts w:cs="Arial"/>
        </w:rPr>
      </w:pPr>
    </w:p>
    <w:p w14:paraId="1D242787" w14:textId="77777777" w:rsidR="00446ACB" w:rsidRPr="001A5BB0" w:rsidRDefault="00446ACB" w:rsidP="001A5BB0">
      <w:pPr>
        <w:rPr>
          <w:rFonts w:cs="Arial"/>
        </w:rPr>
      </w:pPr>
      <w:r w:rsidRPr="001A5BB0">
        <w:rPr>
          <w:rFonts w:cs="Arial"/>
        </w:rPr>
        <w:t xml:space="preserve"> </w:t>
      </w:r>
    </w:p>
    <w:p w14:paraId="0F0D18B3" w14:textId="77777777" w:rsidR="00446ACB" w:rsidRDefault="00446ACB" w:rsidP="00446ACB">
      <w:pPr>
        <w:rPr>
          <w:rFonts w:cs="Arial"/>
        </w:rPr>
      </w:pPr>
    </w:p>
    <w:p w14:paraId="0479366A" w14:textId="77777777" w:rsidR="00446ACB" w:rsidRPr="00446ACB" w:rsidRDefault="00446ACB" w:rsidP="00446ACB">
      <w:pPr>
        <w:rPr>
          <w:rFonts w:cs="Arial"/>
        </w:rPr>
      </w:pPr>
    </w:p>
    <w:p w14:paraId="39293A81" w14:textId="77777777" w:rsidR="00506509" w:rsidRPr="00446ACB" w:rsidRDefault="00506509" w:rsidP="00446ACB">
      <w:pPr>
        <w:rPr>
          <w:rFonts w:cs="Arial"/>
        </w:rPr>
      </w:pPr>
    </w:p>
    <w:p w14:paraId="7DB630F7" w14:textId="77777777" w:rsidR="00AA1D4C" w:rsidRDefault="00AA1D4C" w:rsidP="00AA1D4C">
      <w:pPr>
        <w:rPr>
          <w:rFonts w:cs="Arial"/>
          <w:b/>
        </w:rPr>
      </w:pPr>
      <w:r>
        <w:rPr>
          <w:rFonts w:cs="Arial"/>
          <w:b/>
        </w:rPr>
        <w:t xml:space="preserve">    Covid-19 Pandemic</w:t>
      </w:r>
    </w:p>
    <w:p w14:paraId="51816638" w14:textId="77777777" w:rsidR="00AA1D4C" w:rsidRDefault="00AA1D4C" w:rsidP="00AA1D4C">
      <w:pPr>
        <w:rPr>
          <w:rFonts w:cs="Arial"/>
          <w:b/>
        </w:rPr>
      </w:pPr>
    </w:p>
    <w:p w14:paraId="6C3B6129" w14:textId="77777777" w:rsidR="00AA1D4C" w:rsidRDefault="00AA1D4C" w:rsidP="009471F5">
      <w:pPr>
        <w:pStyle w:val="ListParagraph"/>
        <w:numPr>
          <w:ilvl w:val="0"/>
          <w:numId w:val="1"/>
        </w:numPr>
        <w:rPr>
          <w:rFonts w:cs="Arial"/>
        </w:rPr>
      </w:pPr>
      <w:r>
        <w:rPr>
          <w:rFonts w:cs="Arial"/>
        </w:rPr>
        <w:t xml:space="preserve">In response to the restrictions that came about in March 2020, the team moved to a working from home model. The Team continued to work successfully, albeit with fresh challenges to overcome. Elements of the Team’s function require physical interaction with </w:t>
      </w:r>
      <w:proofErr w:type="gramStart"/>
      <w:r>
        <w:rPr>
          <w:rFonts w:cs="Arial"/>
        </w:rPr>
        <w:t>customers</w:t>
      </w:r>
      <w:proofErr w:type="gramEnd"/>
      <w:r>
        <w:rPr>
          <w:rFonts w:cs="Arial"/>
        </w:rPr>
        <w:t xml:space="preserve"> e.g.  </w:t>
      </w:r>
      <w:proofErr w:type="gramStart"/>
      <w:r>
        <w:rPr>
          <w:rFonts w:cs="Arial"/>
        </w:rPr>
        <w:t>interviews</w:t>
      </w:r>
      <w:proofErr w:type="gramEnd"/>
      <w:r w:rsidR="003F3DDB">
        <w:rPr>
          <w:rFonts w:cs="Arial"/>
        </w:rPr>
        <w:t xml:space="preserve"> under caution and</w:t>
      </w:r>
      <w:r>
        <w:rPr>
          <w:rFonts w:cs="Arial"/>
        </w:rPr>
        <w:t xml:space="preserve"> visits to residential premises. </w:t>
      </w:r>
    </w:p>
    <w:p w14:paraId="3D0B5489" w14:textId="77777777" w:rsidR="00AA1D4C" w:rsidRDefault="00AA1D4C" w:rsidP="00AA1D4C">
      <w:pPr>
        <w:rPr>
          <w:rFonts w:cs="Arial"/>
        </w:rPr>
      </w:pPr>
    </w:p>
    <w:p w14:paraId="76B6E24F" w14:textId="77777777" w:rsidR="00AA1D4C" w:rsidRDefault="00AA1D4C" w:rsidP="00AA1D4C">
      <w:pPr>
        <w:pStyle w:val="ListParagraph"/>
        <w:numPr>
          <w:ilvl w:val="0"/>
          <w:numId w:val="1"/>
        </w:numPr>
        <w:rPr>
          <w:rFonts w:cs="Arial"/>
        </w:rPr>
      </w:pPr>
      <w:r w:rsidRPr="00FD1099">
        <w:rPr>
          <w:rFonts w:cs="Arial"/>
        </w:rPr>
        <w:t>The</w:t>
      </w:r>
      <w:r w:rsidR="00F771E0" w:rsidRPr="00FD1099">
        <w:rPr>
          <w:rFonts w:cs="Arial"/>
        </w:rPr>
        <w:t>se</w:t>
      </w:r>
      <w:r w:rsidRPr="00FD1099">
        <w:rPr>
          <w:rFonts w:cs="Arial"/>
        </w:rPr>
        <w:t xml:space="preserve"> activities ceased</w:t>
      </w:r>
      <w:r w:rsidR="00F771E0" w:rsidRPr="00FD1099">
        <w:rPr>
          <w:rFonts w:cs="Arial"/>
        </w:rPr>
        <w:t xml:space="preserve"> but some aspects </w:t>
      </w:r>
      <w:r w:rsidR="00FD1099" w:rsidRPr="00FD1099">
        <w:rPr>
          <w:rFonts w:cs="Arial"/>
        </w:rPr>
        <w:t xml:space="preserve">were </w:t>
      </w:r>
      <w:r w:rsidR="00F771E0" w:rsidRPr="00FD1099">
        <w:rPr>
          <w:rFonts w:cs="Arial"/>
        </w:rPr>
        <w:t>reintroduced</w:t>
      </w:r>
      <w:r w:rsidR="00FD1099" w:rsidRPr="00FD1099">
        <w:rPr>
          <w:rFonts w:cs="Arial"/>
        </w:rPr>
        <w:t xml:space="preserve"> during periods of eased restrictions</w:t>
      </w:r>
      <w:r w:rsidR="00F771E0" w:rsidRPr="00FD1099">
        <w:rPr>
          <w:rFonts w:cs="Arial"/>
        </w:rPr>
        <w:t>,</w:t>
      </w:r>
      <w:r w:rsidR="00FD1099" w:rsidRPr="00FD1099">
        <w:rPr>
          <w:rFonts w:cs="Arial"/>
        </w:rPr>
        <w:t xml:space="preserve"> all conducted </w:t>
      </w:r>
      <w:r w:rsidR="00F771E0" w:rsidRPr="00FD1099">
        <w:rPr>
          <w:rFonts w:cs="Arial"/>
        </w:rPr>
        <w:t>with the necessary precautions taken to minimise risks to staff and customers.</w:t>
      </w:r>
    </w:p>
    <w:p w14:paraId="6114E908" w14:textId="77777777" w:rsidR="00E17CB4" w:rsidRDefault="00E17CB4" w:rsidP="004879FF">
      <w:pPr>
        <w:rPr>
          <w:rFonts w:cs="Arial"/>
        </w:rPr>
      </w:pPr>
    </w:p>
    <w:p w14:paraId="7A3CCD51" w14:textId="77777777" w:rsidR="00E17CB4" w:rsidRPr="00E17CB4" w:rsidRDefault="00E17CB4" w:rsidP="00E17CB4">
      <w:pPr>
        <w:pStyle w:val="ListParagraph"/>
        <w:numPr>
          <w:ilvl w:val="0"/>
          <w:numId w:val="1"/>
        </w:numPr>
        <w:rPr>
          <w:rFonts w:cs="Arial"/>
        </w:rPr>
      </w:pPr>
      <w:r>
        <w:rPr>
          <w:rFonts w:cs="Arial"/>
        </w:rPr>
        <w:t xml:space="preserve">The move to remote working was something that was adopted nationally across a range of organisations and over time, became culturally embedded. This provided opportunity for the team to work further afield as geographical limitations were less of an encumbrance. This was exampled in the year through new business with two organisations in the north of England; Housing Plus Group and East Staffordshire District Council.  </w:t>
      </w:r>
    </w:p>
    <w:p w14:paraId="099D8E78" w14:textId="77777777" w:rsidR="00F771E0" w:rsidRDefault="00F771E0" w:rsidP="00AA1D4C">
      <w:pPr>
        <w:rPr>
          <w:rFonts w:cs="Arial"/>
        </w:rPr>
      </w:pPr>
    </w:p>
    <w:p w14:paraId="7C6F56C0" w14:textId="77777777" w:rsidR="00F771E0" w:rsidRPr="009471F5" w:rsidRDefault="00F771E0" w:rsidP="009471F5">
      <w:pPr>
        <w:pStyle w:val="ListParagraph"/>
        <w:numPr>
          <w:ilvl w:val="0"/>
          <w:numId w:val="1"/>
        </w:numPr>
        <w:rPr>
          <w:rFonts w:cs="Arial"/>
        </w:rPr>
      </w:pPr>
      <w:r w:rsidRPr="009471F5">
        <w:rPr>
          <w:rFonts w:cs="Arial"/>
        </w:rPr>
        <w:t xml:space="preserve">In the early stages of the pandemic, the government introduced a series of   </w:t>
      </w:r>
    </w:p>
    <w:p w14:paraId="565FF6B0" w14:textId="77777777" w:rsidR="00F771E0" w:rsidRDefault="00F771E0" w:rsidP="009749B2">
      <w:pPr>
        <w:ind w:left="330"/>
        <w:rPr>
          <w:rFonts w:cs="Arial"/>
        </w:rPr>
      </w:pPr>
      <w:proofErr w:type="gramStart"/>
      <w:r>
        <w:rPr>
          <w:rFonts w:cs="Arial"/>
        </w:rPr>
        <w:t>financial</w:t>
      </w:r>
      <w:proofErr w:type="gramEnd"/>
      <w:r>
        <w:rPr>
          <w:rFonts w:cs="Arial"/>
        </w:rPr>
        <w:t xml:space="preserve"> assistance measures to support businesses that were require</w:t>
      </w:r>
      <w:r w:rsidR="003F3DDB">
        <w:rPr>
          <w:rFonts w:cs="Arial"/>
        </w:rPr>
        <w:t>d</w:t>
      </w:r>
      <w:r>
        <w:rPr>
          <w:rFonts w:cs="Arial"/>
        </w:rPr>
        <w:t xml:space="preserve"> to   </w:t>
      </w:r>
    </w:p>
    <w:p w14:paraId="3A87B05B" w14:textId="77777777" w:rsidR="00FD1099" w:rsidRDefault="00F771E0" w:rsidP="00AA1D4C">
      <w:pPr>
        <w:rPr>
          <w:rFonts w:cs="Arial"/>
        </w:rPr>
      </w:pPr>
      <w:r>
        <w:rPr>
          <w:rFonts w:cs="Arial"/>
        </w:rPr>
        <w:t xml:space="preserve">     </w:t>
      </w:r>
      <w:proofErr w:type="gramStart"/>
      <w:r>
        <w:rPr>
          <w:rFonts w:cs="Arial"/>
        </w:rPr>
        <w:t>close</w:t>
      </w:r>
      <w:proofErr w:type="gramEnd"/>
      <w:r>
        <w:rPr>
          <w:rFonts w:cs="Arial"/>
        </w:rPr>
        <w:t xml:space="preserve"> as part of lockdown restrictions. Two grant funding schemes were </w:t>
      </w:r>
      <w:r w:rsidR="00FD1099">
        <w:rPr>
          <w:rFonts w:cs="Arial"/>
        </w:rPr>
        <w:t xml:space="preserve">  </w:t>
      </w:r>
      <w:bookmarkStart w:id="0" w:name="_GoBack"/>
      <w:bookmarkEnd w:id="0"/>
    </w:p>
    <w:p w14:paraId="0285548D" w14:textId="77777777" w:rsidR="00FD1099" w:rsidRDefault="00FD1099" w:rsidP="00AA1D4C">
      <w:pPr>
        <w:rPr>
          <w:rFonts w:cs="Arial"/>
        </w:rPr>
      </w:pPr>
      <w:r>
        <w:rPr>
          <w:rFonts w:cs="Arial"/>
        </w:rPr>
        <w:t xml:space="preserve">     </w:t>
      </w:r>
      <w:proofErr w:type="gramStart"/>
      <w:r>
        <w:rPr>
          <w:rFonts w:cs="Arial"/>
        </w:rPr>
        <w:t>initially</w:t>
      </w:r>
      <w:proofErr w:type="gramEnd"/>
      <w:r w:rsidR="00191A1B">
        <w:rPr>
          <w:rFonts w:cs="Arial"/>
        </w:rPr>
        <w:t xml:space="preserve"> </w:t>
      </w:r>
      <w:r w:rsidR="00F771E0">
        <w:rPr>
          <w:rFonts w:cs="Arial"/>
        </w:rPr>
        <w:t xml:space="preserve">launched </w:t>
      </w:r>
      <w:r w:rsidR="0051245F">
        <w:rPr>
          <w:rFonts w:cs="Arial"/>
        </w:rPr>
        <w:t xml:space="preserve">with pressure on Local Authorities to pay quickly. There </w:t>
      </w:r>
      <w:r>
        <w:rPr>
          <w:rFonts w:cs="Arial"/>
        </w:rPr>
        <w:t xml:space="preserve"> </w:t>
      </w:r>
    </w:p>
    <w:p w14:paraId="50094F42" w14:textId="77777777" w:rsidR="00FD1099" w:rsidRDefault="00FD1099" w:rsidP="00AA1D4C">
      <w:pPr>
        <w:rPr>
          <w:rFonts w:cs="Arial"/>
        </w:rPr>
      </w:pPr>
      <w:r>
        <w:rPr>
          <w:rFonts w:cs="Arial"/>
        </w:rPr>
        <w:t xml:space="preserve">     </w:t>
      </w:r>
      <w:proofErr w:type="gramStart"/>
      <w:r w:rsidR="0051245F">
        <w:rPr>
          <w:rFonts w:cs="Arial"/>
        </w:rPr>
        <w:t>was</w:t>
      </w:r>
      <w:proofErr w:type="gramEnd"/>
      <w:r w:rsidR="0051245F">
        <w:rPr>
          <w:rFonts w:cs="Arial"/>
        </w:rPr>
        <w:t xml:space="preserve"> no guidance on mitigation of fraud and error so it was decided that </w:t>
      </w:r>
      <w:r w:rsidR="003F3DDB">
        <w:rPr>
          <w:rFonts w:cs="Arial"/>
        </w:rPr>
        <w:t xml:space="preserve">the </w:t>
      </w:r>
      <w:r>
        <w:rPr>
          <w:rFonts w:cs="Arial"/>
        </w:rPr>
        <w:t xml:space="preserve"> </w:t>
      </w:r>
    </w:p>
    <w:p w14:paraId="10326D00" w14:textId="77777777" w:rsidR="00FD1099" w:rsidRDefault="00FD1099" w:rsidP="00AA1D4C">
      <w:pPr>
        <w:rPr>
          <w:rFonts w:cs="Arial"/>
        </w:rPr>
      </w:pPr>
      <w:r>
        <w:rPr>
          <w:rFonts w:cs="Arial"/>
        </w:rPr>
        <w:t xml:space="preserve">     </w:t>
      </w:r>
      <w:r w:rsidR="003F3DDB">
        <w:rPr>
          <w:rFonts w:cs="Arial"/>
        </w:rPr>
        <w:t>Council</w:t>
      </w:r>
      <w:r w:rsidR="0051245F">
        <w:rPr>
          <w:rFonts w:cs="Arial"/>
        </w:rPr>
        <w:t xml:space="preserve"> should take a robust approach in ensuring that funds were not</w:t>
      </w:r>
    </w:p>
    <w:p w14:paraId="798C5131" w14:textId="77777777" w:rsidR="00FD1099" w:rsidRDefault="00FD1099" w:rsidP="00AA1D4C">
      <w:pPr>
        <w:rPr>
          <w:rFonts w:cs="Arial"/>
        </w:rPr>
      </w:pPr>
      <w:r>
        <w:rPr>
          <w:rFonts w:cs="Arial"/>
        </w:rPr>
        <w:t xml:space="preserve">     </w:t>
      </w:r>
      <w:proofErr w:type="gramStart"/>
      <w:r w:rsidR="0051245F">
        <w:rPr>
          <w:rFonts w:cs="Arial"/>
        </w:rPr>
        <w:t>being</w:t>
      </w:r>
      <w:proofErr w:type="gramEnd"/>
      <w:r w:rsidR="00191A1B">
        <w:rPr>
          <w:rFonts w:cs="Arial"/>
        </w:rPr>
        <w:t xml:space="preserve"> </w:t>
      </w:r>
      <w:r w:rsidR="0051245F">
        <w:rPr>
          <w:rFonts w:cs="Arial"/>
        </w:rPr>
        <w:t xml:space="preserve">fraudulently obtained. </w:t>
      </w:r>
    </w:p>
    <w:p w14:paraId="1713CDD9" w14:textId="77777777" w:rsidR="007171DF" w:rsidRDefault="007171DF" w:rsidP="00AA1D4C">
      <w:pPr>
        <w:rPr>
          <w:rFonts w:cs="Arial"/>
        </w:rPr>
      </w:pPr>
    </w:p>
    <w:p w14:paraId="6DCCB9D9" w14:textId="77777777" w:rsidR="007171DF" w:rsidRDefault="007171DF" w:rsidP="007171DF">
      <w:pPr>
        <w:pStyle w:val="ListParagraph"/>
        <w:numPr>
          <w:ilvl w:val="0"/>
          <w:numId w:val="1"/>
        </w:numPr>
        <w:rPr>
          <w:rFonts w:cs="Arial"/>
        </w:rPr>
      </w:pPr>
      <w:r>
        <w:rPr>
          <w:rFonts w:cs="Arial"/>
        </w:rPr>
        <w:t>The approach resulted in applications taking marginally longer to process than other LA’s</w:t>
      </w:r>
      <w:r w:rsidR="00E17CB4">
        <w:rPr>
          <w:rFonts w:cs="Arial"/>
        </w:rPr>
        <w:t>,</w:t>
      </w:r>
      <w:r>
        <w:rPr>
          <w:rFonts w:cs="Arial"/>
        </w:rPr>
        <w:t xml:space="preserve"> </w:t>
      </w:r>
      <w:r w:rsidR="00005690">
        <w:rPr>
          <w:rFonts w:cs="Arial"/>
        </w:rPr>
        <w:t xml:space="preserve">many of </w:t>
      </w:r>
      <w:r>
        <w:rPr>
          <w:rFonts w:cs="Arial"/>
        </w:rPr>
        <w:t>who</w:t>
      </w:r>
      <w:r w:rsidR="00E17CB4">
        <w:rPr>
          <w:rFonts w:cs="Arial"/>
        </w:rPr>
        <w:t>m</w:t>
      </w:r>
      <w:r>
        <w:rPr>
          <w:rFonts w:cs="Arial"/>
        </w:rPr>
        <w:t xml:space="preserve"> were not </w:t>
      </w:r>
      <w:r w:rsidR="004B2009">
        <w:rPr>
          <w:rFonts w:cs="Arial"/>
        </w:rPr>
        <w:t xml:space="preserve">applying a verification process, </w:t>
      </w:r>
      <w:proofErr w:type="gramStart"/>
      <w:r w:rsidR="004B2009">
        <w:rPr>
          <w:rFonts w:cs="Arial"/>
        </w:rPr>
        <w:t>something  which</w:t>
      </w:r>
      <w:proofErr w:type="gramEnd"/>
      <w:r w:rsidR="004B2009">
        <w:rPr>
          <w:rFonts w:cs="Arial"/>
        </w:rPr>
        <w:t xml:space="preserve"> attracted criticism from central government. However, as a direct result of the enhanced level of due diligence in place, the Counter Fraud team stopped fraudulent and irregular grant applications to the value of £6.55m over the course of the year, </w:t>
      </w:r>
      <w:r w:rsidR="006E0CB4">
        <w:rPr>
          <w:rFonts w:cs="Arial"/>
        </w:rPr>
        <w:t xml:space="preserve">across </w:t>
      </w:r>
      <w:r w:rsidR="004B2009">
        <w:rPr>
          <w:rFonts w:cs="Arial"/>
        </w:rPr>
        <w:t xml:space="preserve">the </w:t>
      </w:r>
      <w:r w:rsidR="006E0CB4">
        <w:rPr>
          <w:rFonts w:cs="Arial"/>
        </w:rPr>
        <w:t xml:space="preserve">total </w:t>
      </w:r>
      <w:r w:rsidR="004B2009">
        <w:rPr>
          <w:rFonts w:cs="Arial"/>
        </w:rPr>
        <w:t>27 different schemes introduced by the government.</w:t>
      </w:r>
    </w:p>
    <w:p w14:paraId="6202A6A0" w14:textId="77777777" w:rsidR="00B82CFB" w:rsidRDefault="00B82CFB" w:rsidP="004879FF">
      <w:pPr>
        <w:rPr>
          <w:rFonts w:cs="Arial"/>
        </w:rPr>
      </w:pPr>
    </w:p>
    <w:p w14:paraId="1ABF3E70" w14:textId="77777777" w:rsidR="00B82CFB" w:rsidRPr="00B82CFB" w:rsidRDefault="00B82CFB" w:rsidP="00B82CFB">
      <w:pPr>
        <w:pStyle w:val="ListParagraph"/>
        <w:numPr>
          <w:ilvl w:val="0"/>
          <w:numId w:val="1"/>
        </w:numPr>
        <w:rPr>
          <w:rFonts w:cs="Arial"/>
        </w:rPr>
      </w:pPr>
      <w:r>
        <w:rPr>
          <w:rFonts w:cs="Arial"/>
        </w:rPr>
        <w:t>Among the fraudulent and irregular grant applications were cases where the applicant had applied for funding based on an actively operational business, but checks revealed that the businesses had closed many months prior to application. Some of these applications had been supported with forged bank statements. Other applicants had flooded the system with applications containing slight variations, hoping to fraudulently obtain duplicate awards. There were also applications from individuals purporting to be business owners but when the team contacted the real business owner</w:t>
      </w:r>
      <w:r w:rsidR="00135AF4">
        <w:rPr>
          <w:rFonts w:cs="Arial"/>
        </w:rPr>
        <w:t>s</w:t>
      </w:r>
      <w:r>
        <w:rPr>
          <w:rFonts w:cs="Arial"/>
        </w:rPr>
        <w:t>, they had no knowledge of the application</w:t>
      </w:r>
      <w:r w:rsidR="00135AF4">
        <w:rPr>
          <w:rFonts w:cs="Arial"/>
        </w:rPr>
        <w:t>s</w:t>
      </w:r>
      <w:r>
        <w:rPr>
          <w:rFonts w:cs="Arial"/>
        </w:rPr>
        <w:t>, which w</w:t>
      </w:r>
      <w:r w:rsidR="00135AF4">
        <w:rPr>
          <w:rFonts w:cs="Arial"/>
        </w:rPr>
        <w:t>ere</w:t>
      </w:r>
      <w:r>
        <w:rPr>
          <w:rFonts w:cs="Arial"/>
        </w:rPr>
        <w:t xml:space="preserve"> subsequently withdrawn.</w:t>
      </w:r>
    </w:p>
    <w:p w14:paraId="35CB2142" w14:textId="77777777" w:rsidR="007171DF" w:rsidRDefault="007171DF" w:rsidP="00AA1D4C">
      <w:pPr>
        <w:rPr>
          <w:rFonts w:cs="Arial"/>
        </w:rPr>
      </w:pPr>
    </w:p>
    <w:p w14:paraId="4CC7C142" w14:textId="77777777" w:rsidR="00FD1099" w:rsidRDefault="00FD1099" w:rsidP="00AA1D4C">
      <w:pPr>
        <w:rPr>
          <w:rFonts w:cs="Arial"/>
        </w:rPr>
      </w:pPr>
    </w:p>
    <w:p w14:paraId="264DEA7A" w14:textId="77777777" w:rsidR="004B3B92" w:rsidRDefault="0051245F" w:rsidP="00FD1099">
      <w:pPr>
        <w:pStyle w:val="ListParagraph"/>
        <w:numPr>
          <w:ilvl w:val="0"/>
          <w:numId w:val="1"/>
        </w:numPr>
        <w:rPr>
          <w:rFonts w:cs="Arial"/>
        </w:rPr>
      </w:pPr>
      <w:r w:rsidRPr="00FD1099">
        <w:rPr>
          <w:rFonts w:cs="Arial"/>
        </w:rPr>
        <w:t>This activity</w:t>
      </w:r>
      <w:r w:rsidR="006E0CB4">
        <w:rPr>
          <w:rFonts w:cs="Arial"/>
        </w:rPr>
        <w:t>, which was centre stage</w:t>
      </w:r>
      <w:r w:rsidRPr="00FD1099">
        <w:rPr>
          <w:rFonts w:cs="Arial"/>
        </w:rPr>
        <w:t xml:space="preserve"> </w:t>
      </w:r>
      <w:r w:rsidR="007171DF">
        <w:rPr>
          <w:rFonts w:cs="Arial"/>
        </w:rPr>
        <w:t>through</w:t>
      </w:r>
      <w:r w:rsidR="006E0CB4">
        <w:rPr>
          <w:rFonts w:cs="Arial"/>
        </w:rPr>
        <w:t>out</w:t>
      </w:r>
      <w:r w:rsidR="007171DF">
        <w:rPr>
          <w:rFonts w:cs="Arial"/>
        </w:rPr>
        <w:t xml:space="preserve"> the entire financial year</w:t>
      </w:r>
      <w:r w:rsidR="006E0CB4">
        <w:rPr>
          <w:rFonts w:cs="Arial"/>
        </w:rPr>
        <w:t>,</w:t>
      </w:r>
      <w:r w:rsidR="007171DF">
        <w:rPr>
          <w:rFonts w:cs="Arial"/>
        </w:rPr>
        <w:t xml:space="preserve"> </w:t>
      </w:r>
      <w:r w:rsidRPr="00FD1099">
        <w:rPr>
          <w:rFonts w:cs="Arial"/>
        </w:rPr>
        <w:t xml:space="preserve">required a significant realignment of resources but it was delivered successfully, in partnership with the </w:t>
      </w:r>
      <w:r w:rsidR="007171DF">
        <w:rPr>
          <w:rFonts w:cs="Arial"/>
        </w:rPr>
        <w:t>Revenues Team, Economic Development Team and the Payments Team</w:t>
      </w:r>
      <w:r w:rsidR="006E0CB4">
        <w:rPr>
          <w:rFonts w:cs="Arial"/>
        </w:rPr>
        <w:t>.</w:t>
      </w:r>
    </w:p>
    <w:p w14:paraId="16291A92" w14:textId="77777777" w:rsidR="0021369D" w:rsidRDefault="0021369D" w:rsidP="0021369D">
      <w:pPr>
        <w:ind w:left="426"/>
        <w:rPr>
          <w:rFonts w:cs="Arial"/>
        </w:rPr>
      </w:pPr>
    </w:p>
    <w:p w14:paraId="41ED1B1F" w14:textId="77777777" w:rsidR="009471F5" w:rsidRDefault="009471F5" w:rsidP="0021369D">
      <w:pPr>
        <w:ind w:left="426"/>
        <w:rPr>
          <w:rFonts w:cs="Arial"/>
        </w:rPr>
      </w:pPr>
    </w:p>
    <w:p w14:paraId="40364410" w14:textId="77777777" w:rsidR="009471F5" w:rsidRDefault="009471F5" w:rsidP="0021369D">
      <w:pPr>
        <w:ind w:left="426"/>
        <w:rPr>
          <w:rFonts w:cs="Arial"/>
        </w:rPr>
      </w:pPr>
    </w:p>
    <w:p w14:paraId="7CDDDE72" w14:textId="77777777" w:rsidR="00302A89" w:rsidRDefault="005F7ECB" w:rsidP="003D7522">
      <w:pPr>
        <w:pStyle w:val="ListParagraph"/>
        <w:ind w:hanging="294"/>
        <w:rPr>
          <w:rFonts w:cs="Arial"/>
          <w:b/>
        </w:rPr>
      </w:pPr>
      <w:r w:rsidRPr="003D7522">
        <w:rPr>
          <w:rFonts w:cs="Arial"/>
          <w:b/>
        </w:rPr>
        <w:t xml:space="preserve">Legal </w:t>
      </w:r>
      <w:r w:rsidR="00F855DE">
        <w:rPr>
          <w:rFonts w:cs="Arial"/>
          <w:b/>
        </w:rPr>
        <w:t>Implications</w:t>
      </w:r>
    </w:p>
    <w:p w14:paraId="66ABA3F0" w14:textId="77777777" w:rsidR="002421E5" w:rsidRDefault="002421E5" w:rsidP="003D7522">
      <w:pPr>
        <w:pStyle w:val="ListParagraph"/>
        <w:ind w:hanging="294"/>
        <w:rPr>
          <w:rFonts w:cs="Arial"/>
          <w:b/>
        </w:rPr>
      </w:pPr>
    </w:p>
    <w:p w14:paraId="61BD1703" w14:textId="77777777" w:rsidR="00492497" w:rsidRDefault="00492497" w:rsidP="00D87266">
      <w:pPr>
        <w:pStyle w:val="ListParagraph"/>
        <w:numPr>
          <w:ilvl w:val="0"/>
          <w:numId w:val="1"/>
        </w:numPr>
        <w:rPr>
          <w:rFonts w:cs="Arial"/>
        </w:rPr>
      </w:pPr>
      <w:r w:rsidRPr="00E35866">
        <w:rPr>
          <w:rFonts w:cs="Arial"/>
        </w:rPr>
        <w:t xml:space="preserve">The continuing work of the Investigation </w:t>
      </w:r>
      <w:r w:rsidR="0075252D" w:rsidRPr="00E35866">
        <w:rPr>
          <w:rFonts w:cs="Arial"/>
        </w:rPr>
        <w:t>Team</w:t>
      </w:r>
      <w:r w:rsidRPr="00E35866">
        <w:rPr>
          <w:rFonts w:cs="Arial"/>
        </w:rPr>
        <w:t xml:space="preserve">, coupled with the Council’s Avoiding Bribery, Fraud and Corruption, Whistle </w:t>
      </w:r>
      <w:r w:rsidR="0075252D" w:rsidRPr="00E35866">
        <w:rPr>
          <w:rFonts w:cs="Arial"/>
        </w:rPr>
        <w:t>B</w:t>
      </w:r>
      <w:r w:rsidRPr="00E35866">
        <w:rPr>
          <w:rFonts w:cs="Arial"/>
        </w:rPr>
        <w:t>lowing and Money Laundering policies and procedures</w:t>
      </w:r>
      <w:r w:rsidRPr="00E35866">
        <w:rPr>
          <w:rFonts w:cs="Arial"/>
          <w:b/>
        </w:rPr>
        <w:t xml:space="preserve"> </w:t>
      </w:r>
      <w:r w:rsidRPr="00E35866">
        <w:rPr>
          <w:rFonts w:cs="Arial"/>
        </w:rPr>
        <w:t>give assurance that the Authority is compliant with the Bribery Act 2010, the Money Laundering Regulations 2007 and the Proceeds of Crime Act 2002. Failure to adhere to the Policies would impact on the legal and reputational risk to the Council.</w:t>
      </w:r>
      <w:r w:rsidR="00785D6D">
        <w:rPr>
          <w:rFonts w:cs="Arial"/>
        </w:rPr>
        <w:t xml:space="preserve"> </w:t>
      </w:r>
    </w:p>
    <w:p w14:paraId="2E28AC5A" w14:textId="77777777" w:rsidR="00B341A7" w:rsidRDefault="00B341A7" w:rsidP="00785D6D">
      <w:pPr>
        <w:rPr>
          <w:rFonts w:cs="Arial"/>
        </w:rPr>
      </w:pPr>
    </w:p>
    <w:p w14:paraId="6968BF80" w14:textId="77777777" w:rsidR="00F52D21" w:rsidRPr="001B41B8" w:rsidRDefault="00785D6D" w:rsidP="009471F5">
      <w:pPr>
        <w:pStyle w:val="ListParagraph"/>
        <w:numPr>
          <w:ilvl w:val="0"/>
          <w:numId w:val="1"/>
        </w:numPr>
        <w:rPr>
          <w:rFonts w:cs="Arial"/>
        </w:rPr>
      </w:pPr>
      <w:r w:rsidRPr="001B41B8">
        <w:rPr>
          <w:rFonts w:cs="Arial"/>
        </w:rPr>
        <w:t>All data sharing</w:t>
      </w:r>
      <w:r w:rsidR="004454D3">
        <w:rPr>
          <w:rFonts w:cs="Arial"/>
        </w:rPr>
        <w:t>,</w:t>
      </w:r>
      <w:r w:rsidRPr="001B41B8">
        <w:rPr>
          <w:rFonts w:cs="Arial"/>
        </w:rPr>
        <w:t xml:space="preserve"> </w:t>
      </w:r>
      <w:r w:rsidR="0054789C" w:rsidRPr="001B41B8">
        <w:rPr>
          <w:rFonts w:cs="Arial"/>
        </w:rPr>
        <w:t>both internally and externally</w:t>
      </w:r>
      <w:r w:rsidR="004454D3">
        <w:rPr>
          <w:rFonts w:cs="Arial"/>
        </w:rPr>
        <w:t>,</w:t>
      </w:r>
      <w:r w:rsidR="0054789C" w:rsidRPr="001B41B8">
        <w:rPr>
          <w:rFonts w:cs="Arial"/>
        </w:rPr>
        <w:t xml:space="preserve"> is covered by Data Sharing </w:t>
      </w:r>
    </w:p>
    <w:p w14:paraId="7287844A" w14:textId="77777777" w:rsidR="00785D6D" w:rsidRPr="00F52D21" w:rsidRDefault="0054789C" w:rsidP="00DE3160">
      <w:pPr>
        <w:ind w:left="426"/>
        <w:rPr>
          <w:rFonts w:cs="Arial"/>
        </w:rPr>
      </w:pPr>
      <w:r w:rsidRPr="00F52D21">
        <w:rPr>
          <w:rFonts w:cs="Arial"/>
        </w:rPr>
        <w:t>Protocols</w:t>
      </w:r>
      <w:r w:rsidR="00191A1B">
        <w:rPr>
          <w:rFonts w:cs="Arial"/>
        </w:rPr>
        <w:t xml:space="preserve"> and A</w:t>
      </w:r>
      <w:r w:rsidR="00DE3160">
        <w:rPr>
          <w:rFonts w:cs="Arial"/>
        </w:rPr>
        <w:t>greements,</w:t>
      </w:r>
      <w:r w:rsidRPr="00F52D21">
        <w:rPr>
          <w:rFonts w:cs="Arial"/>
        </w:rPr>
        <w:t xml:space="preserve"> and is conducted in the interests of prevention </w:t>
      </w:r>
      <w:r w:rsidR="00DE3160">
        <w:rPr>
          <w:rFonts w:cs="Arial"/>
        </w:rPr>
        <w:t xml:space="preserve">                       </w:t>
      </w:r>
      <w:r w:rsidRPr="00F52D21">
        <w:rPr>
          <w:rFonts w:cs="Arial"/>
        </w:rPr>
        <w:t>and detection of</w:t>
      </w:r>
      <w:r w:rsidR="00DE3160">
        <w:rPr>
          <w:rFonts w:cs="Arial"/>
        </w:rPr>
        <w:t xml:space="preserve"> </w:t>
      </w:r>
      <w:r w:rsidRPr="00F52D21">
        <w:rPr>
          <w:rFonts w:cs="Arial"/>
        </w:rPr>
        <w:t xml:space="preserve">fraud, crime and other financial irregularity, </w:t>
      </w:r>
      <w:r w:rsidR="00FD7B09">
        <w:rPr>
          <w:rFonts w:cs="Arial"/>
        </w:rPr>
        <w:t>in accordance with</w:t>
      </w:r>
      <w:r w:rsidRPr="00F52D21">
        <w:rPr>
          <w:rFonts w:cs="Arial"/>
        </w:rPr>
        <w:t xml:space="preserve"> the provisions </w:t>
      </w:r>
      <w:r w:rsidR="00DE3160">
        <w:rPr>
          <w:rFonts w:cs="Arial"/>
        </w:rPr>
        <w:t>and exemptions of the European General Data Protection Regulation and the Data Protection Act 2018.</w:t>
      </w:r>
    </w:p>
    <w:p w14:paraId="53EAEF36" w14:textId="77777777" w:rsidR="00640FDA" w:rsidRDefault="00640FDA" w:rsidP="00640FDA">
      <w:pPr>
        <w:rPr>
          <w:rFonts w:cs="Arial"/>
        </w:rPr>
      </w:pPr>
    </w:p>
    <w:p w14:paraId="76E7CCD8" w14:textId="77777777" w:rsidR="00F52D21" w:rsidRPr="001B41B8" w:rsidRDefault="00790EA7" w:rsidP="009471F5">
      <w:pPr>
        <w:pStyle w:val="ListParagraph"/>
        <w:numPr>
          <w:ilvl w:val="0"/>
          <w:numId w:val="1"/>
        </w:numPr>
        <w:rPr>
          <w:rFonts w:cs="Arial"/>
        </w:rPr>
      </w:pPr>
      <w:r w:rsidRPr="001B41B8">
        <w:rPr>
          <w:rFonts w:cs="Arial"/>
        </w:rPr>
        <w:t>All contractual a</w:t>
      </w:r>
      <w:r w:rsidR="003203AD" w:rsidRPr="001B41B8">
        <w:rPr>
          <w:rFonts w:cs="Arial"/>
        </w:rPr>
        <w:t>greements devised for joint working with other</w:t>
      </w:r>
    </w:p>
    <w:p w14:paraId="35AA7FB1" w14:textId="77777777" w:rsidR="00640FDA" w:rsidRDefault="00F52D21" w:rsidP="00F52D21">
      <w:pPr>
        <w:ind w:firstLine="360"/>
        <w:rPr>
          <w:rFonts w:cs="Arial"/>
        </w:rPr>
      </w:pPr>
      <w:proofErr w:type="gramStart"/>
      <w:r>
        <w:rPr>
          <w:rFonts w:cs="Arial"/>
        </w:rPr>
        <w:t>o</w:t>
      </w:r>
      <w:r w:rsidR="003203AD" w:rsidRPr="00F52D21">
        <w:rPr>
          <w:rFonts w:cs="Arial"/>
        </w:rPr>
        <w:t>rganisations</w:t>
      </w:r>
      <w:proofErr w:type="gramEnd"/>
      <w:r w:rsidR="003203AD" w:rsidRPr="00F52D21">
        <w:rPr>
          <w:rFonts w:cs="Arial"/>
        </w:rPr>
        <w:t xml:space="preserve"> have been </w:t>
      </w:r>
      <w:r w:rsidR="00DE3160">
        <w:rPr>
          <w:rFonts w:cs="Arial"/>
        </w:rPr>
        <w:t xml:space="preserve">reviewed and </w:t>
      </w:r>
      <w:r w:rsidR="009919DA" w:rsidRPr="00F52D21">
        <w:rPr>
          <w:rFonts w:cs="Arial"/>
        </w:rPr>
        <w:t>approved by</w:t>
      </w:r>
      <w:r w:rsidR="00E3458C" w:rsidRPr="00F52D21">
        <w:rPr>
          <w:rFonts w:cs="Arial"/>
        </w:rPr>
        <w:t xml:space="preserve"> </w:t>
      </w:r>
      <w:r w:rsidR="003203AD" w:rsidRPr="00F52D21">
        <w:rPr>
          <w:rFonts w:cs="Arial"/>
        </w:rPr>
        <w:t>Legal Services.</w:t>
      </w:r>
    </w:p>
    <w:p w14:paraId="68F181A4" w14:textId="77777777" w:rsidR="00FD7B09" w:rsidRDefault="00FD7B09" w:rsidP="00F52D21">
      <w:pPr>
        <w:ind w:firstLine="360"/>
        <w:rPr>
          <w:rFonts w:cs="Arial"/>
        </w:rPr>
      </w:pPr>
    </w:p>
    <w:p w14:paraId="14075057" w14:textId="77777777" w:rsidR="00FD7B09" w:rsidRPr="00FD7B09" w:rsidRDefault="00FD7B09" w:rsidP="002421E5">
      <w:pPr>
        <w:ind w:left="360"/>
        <w:rPr>
          <w:rFonts w:cs="Arial"/>
        </w:rPr>
      </w:pPr>
      <w:r w:rsidRPr="00FD7B09">
        <w:rPr>
          <w:rFonts w:cs="Arial"/>
        </w:rPr>
        <w:t xml:space="preserve">The Council has relied upon its powers under the </w:t>
      </w:r>
      <w:r w:rsidRPr="002421E5">
        <w:rPr>
          <w:rFonts w:cs="Arial"/>
          <w:bCs/>
        </w:rPr>
        <w:t>Section 1 of the Local Authorities (Goods and Services) Act 1970</w:t>
      </w:r>
      <w:r w:rsidR="00F1601E">
        <w:rPr>
          <w:rFonts w:cs="Arial"/>
          <w:bCs/>
        </w:rPr>
        <w:t xml:space="preserve"> (the “1970 Act”)</w:t>
      </w:r>
      <w:r w:rsidRPr="002421E5">
        <w:rPr>
          <w:rFonts w:cs="Arial"/>
          <w:bCs/>
        </w:rPr>
        <w:t xml:space="preserve"> to provide services to other local authorities</w:t>
      </w:r>
      <w:r w:rsidR="00237916">
        <w:rPr>
          <w:rFonts w:cs="Arial"/>
          <w:bCs/>
        </w:rPr>
        <w:t xml:space="preserve"> and public bodies</w:t>
      </w:r>
      <w:r w:rsidRPr="002421E5">
        <w:rPr>
          <w:rFonts w:cs="Arial"/>
          <w:bCs/>
        </w:rPr>
        <w:t>.</w:t>
      </w:r>
      <w:r w:rsidR="00237916">
        <w:rPr>
          <w:rFonts w:cs="Arial"/>
          <w:bCs/>
        </w:rPr>
        <w:t xml:space="preserve"> </w:t>
      </w:r>
      <w:r w:rsidR="00F1601E">
        <w:rPr>
          <w:rFonts w:cs="Arial"/>
          <w:bCs/>
        </w:rPr>
        <w:t xml:space="preserve">The 1970 Act </w:t>
      </w:r>
      <w:r w:rsidR="00F1601E" w:rsidRPr="00F1601E">
        <w:rPr>
          <w:rFonts w:cs="Arial"/>
          <w:bCs/>
        </w:rPr>
        <w:t xml:space="preserve">enables local authorities to supply goods and services (subject to certain restrictions) to other local authorities and to public bodies. </w:t>
      </w:r>
      <w:r w:rsidR="00F1601E" w:rsidRPr="00F1601E">
        <w:rPr>
          <w:rFonts w:cs="Arial"/>
          <w:bCs/>
          <w:i/>
          <w:iCs/>
        </w:rPr>
        <w:t>“Public body” </w:t>
      </w:r>
      <w:r w:rsidR="00F1601E" w:rsidRPr="00F1601E">
        <w:rPr>
          <w:rFonts w:cs="Arial"/>
          <w:bCs/>
        </w:rPr>
        <w:t>means a person or description of persons appearing to the Secretary of State to be exercising functions of a public nature</w:t>
      </w:r>
      <w:r w:rsidR="00F1601E">
        <w:rPr>
          <w:rFonts w:cs="Arial"/>
          <w:bCs/>
        </w:rPr>
        <w:t xml:space="preserve">. </w:t>
      </w:r>
    </w:p>
    <w:p w14:paraId="77A1D253" w14:textId="77777777" w:rsidR="002421E5" w:rsidRDefault="002421E5">
      <w:pPr>
        <w:rPr>
          <w:rFonts w:cs="Arial"/>
          <w:i/>
        </w:rPr>
      </w:pPr>
    </w:p>
    <w:p w14:paraId="160EA740" w14:textId="77777777" w:rsidR="00710D4D" w:rsidRDefault="00115173" w:rsidP="00710D4D">
      <w:pPr>
        <w:rPr>
          <w:rFonts w:cs="Arial"/>
          <w:b/>
        </w:rPr>
      </w:pPr>
      <w:r>
        <w:rPr>
          <w:rFonts w:cs="Arial"/>
          <w:b/>
        </w:rPr>
        <w:t xml:space="preserve">      </w:t>
      </w:r>
      <w:r w:rsidR="00710D4D" w:rsidRPr="007A3131">
        <w:rPr>
          <w:rFonts w:cs="Arial"/>
          <w:b/>
        </w:rPr>
        <w:t>Financial Implications</w:t>
      </w:r>
    </w:p>
    <w:p w14:paraId="4B3307B5" w14:textId="77777777" w:rsidR="002421E5" w:rsidRPr="007A3131" w:rsidRDefault="002421E5" w:rsidP="00710D4D">
      <w:pPr>
        <w:rPr>
          <w:rFonts w:cs="Arial"/>
          <w:b/>
        </w:rPr>
      </w:pPr>
    </w:p>
    <w:p w14:paraId="7FBB9333" w14:textId="77777777" w:rsidR="00191A1B" w:rsidRDefault="00DF7A98" w:rsidP="00F36743">
      <w:pPr>
        <w:pStyle w:val="ListParagraph"/>
        <w:numPr>
          <w:ilvl w:val="0"/>
          <w:numId w:val="1"/>
        </w:numPr>
        <w:rPr>
          <w:rFonts w:cs="Arial"/>
        </w:rPr>
      </w:pPr>
      <w:r>
        <w:rPr>
          <w:rFonts w:cs="Arial"/>
        </w:rPr>
        <w:t xml:space="preserve">The team continues to prevent and detect fraud and financial irregularity, first and foremost, for Oxford City Council. Engaging in a number of </w:t>
      </w:r>
      <w:r>
        <w:rPr>
          <w:rFonts w:cs="Arial"/>
        </w:rPr>
        <w:lastRenderedPageBreak/>
        <w:t>innovative, proactive initiatives has ensured the continued delivery of a robust counter fraud service</w:t>
      </w:r>
      <w:r w:rsidR="00F36743">
        <w:rPr>
          <w:rFonts w:cs="Arial"/>
        </w:rPr>
        <w:t>, even with operational challenges brought about by the pandemic, remote working and officer time monopolised by the various grants schemes</w:t>
      </w:r>
      <w:r>
        <w:rPr>
          <w:rFonts w:cs="Arial"/>
        </w:rPr>
        <w:t xml:space="preserve">. </w:t>
      </w:r>
      <w:r w:rsidR="00191A1B">
        <w:rPr>
          <w:rFonts w:cs="Arial"/>
        </w:rPr>
        <w:t>The value of prevented fraud losses, additional revenue identified as well as income from external trading was over £</w:t>
      </w:r>
      <w:r w:rsidR="00F36743" w:rsidRPr="00F36743">
        <w:rPr>
          <w:rFonts w:cs="Arial"/>
        </w:rPr>
        <w:t>9,</w:t>
      </w:r>
      <w:r w:rsidR="00183DB0">
        <w:rPr>
          <w:rFonts w:cs="Arial"/>
        </w:rPr>
        <w:t>461</w:t>
      </w:r>
      <w:r w:rsidR="00F36743" w:rsidRPr="00F36743">
        <w:rPr>
          <w:rFonts w:cs="Arial"/>
        </w:rPr>
        <w:t>,</w:t>
      </w:r>
      <w:r w:rsidR="00183DB0">
        <w:rPr>
          <w:rFonts w:cs="Arial"/>
        </w:rPr>
        <w:t>179</w:t>
      </w:r>
      <w:r w:rsidR="00005690">
        <w:rPr>
          <w:rFonts w:cs="Arial"/>
        </w:rPr>
        <w:t xml:space="preserve"> </w:t>
      </w:r>
      <w:r w:rsidR="00191A1B">
        <w:rPr>
          <w:rFonts w:cs="Arial"/>
        </w:rPr>
        <w:t>in the financial year 20</w:t>
      </w:r>
      <w:r w:rsidR="00F36743">
        <w:rPr>
          <w:rFonts w:cs="Arial"/>
        </w:rPr>
        <w:t>20</w:t>
      </w:r>
      <w:r w:rsidR="00191A1B">
        <w:rPr>
          <w:rFonts w:cs="Arial"/>
        </w:rPr>
        <w:t>-202</w:t>
      </w:r>
      <w:r w:rsidR="00F36743">
        <w:rPr>
          <w:rFonts w:cs="Arial"/>
        </w:rPr>
        <w:t>1</w:t>
      </w:r>
    </w:p>
    <w:p w14:paraId="5A0B13AC" w14:textId="77777777" w:rsidR="00191A1B" w:rsidRPr="00191A1B" w:rsidRDefault="00191A1B" w:rsidP="00191A1B">
      <w:pPr>
        <w:rPr>
          <w:rFonts w:cs="Arial"/>
        </w:rPr>
      </w:pPr>
    </w:p>
    <w:p w14:paraId="75FE88F8" w14:textId="5AD4B4EC" w:rsidR="00DF7A98" w:rsidRDefault="001D54A7" w:rsidP="009471F5">
      <w:pPr>
        <w:pStyle w:val="ListParagraph"/>
        <w:numPr>
          <w:ilvl w:val="0"/>
          <w:numId w:val="1"/>
        </w:numPr>
        <w:rPr>
          <w:rFonts w:cs="Arial"/>
        </w:rPr>
      </w:pPr>
      <w:r>
        <w:rPr>
          <w:rFonts w:cs="Arial"/>
        </w:rPr>
        <w:t xml:space="preserve">The </w:t>
      </w:r>
      <w:r w:rsidR="00D935C2">
        <w:rPr>
          <w:rFonts w:cs="Arial"/>
        </w:rPr>
        <w:t>gross</w:t>
      </w:r>
      <w:r>
        <w:rPr>
          <w:rFonts w:cs="Arial"/>
        </w:rPr>
        <w:t xml:space="preserve"> cost of running the team for </w:t>
      </w:r>
      <w:r w:rsidR="00D935C2">
        <w:rPr>
          <w:rFonts w:cs="Arial"/>
        </w:rPr>
        <w:t>20</w:t>
      </w:r>
      <w:r w:rsidR="00FC3AB3">
        <w:rPr>
          <w:rFonts w:cs="Arial"/>
        </w:rPr>
        <w:t>20</w:t>
      </w:r>
      <w:r w:rsidR="00D935C2">
        <w:rPr>
          <w:rFonts w:cs="Arial"/>
        </w:rPr>
        <w:t xml:space="preserve">-2020 </w:t>
      </w:r>
      <w:r w:rsidR="0055103B">
        <w:rPr>
          <w:rFonts w:cs="Arial"/>
        </w:rPr>
        <w:t>w</w:t>
      </w:r>
      <w:r w:rsidR="00D935C2">
        <w:rPr>
          <w:rFonts w:cs="Arial"/>
        </w:rPr>
        <w:t>as £</w:t>
      </w:r>
      <w:r w:rsidR="00AD29A0">
        <w:rPr>
          <w:rFonts w:cs="Arial"/>
        </w:rPr>
        <w:t>469</w:t>
      </w:r>
      <w:r w:rsidR="00D935C2">
        <w:rPr>
          <w:rFonts w:cs="Arial"/>
        </w:rPr>
        <w:t>,75</w:t>
      </w:r>
      <w:r w:rsidR="00AD29A0">
        <w:rPr>
          <w:rFonts w:cs="Arial"/>
        </w:rPr>
        <w:t>2</w:t>
      </w:r>
      <w:r w:rsidR="005810D4">
        <w:rPr>
          <w:rFonts w:cs="Arial"/>
        </w:rPr>
        <w:t xml:space="preserve"> equating to a return in investment for the year of approximately 2013%</w:t>
      </w:r>
    </w:p>
    <w:p w14:paraId="40D989FB" w14:textId="77777777" w:rsidR="00DF7A98" w:rsidRDefault="00DF7A98" w:rsidP="00DF7A98">
      <w:pPr>
        <w:rPr>
          <w:rFonts w:cs="Arial"/>
        </w:rPr>
      </w:pPr>
    </w:p>
    <w:p w14:paraId="748F2DA2" w14:textId="77777777" w:rsidR="0055103B" w:rsidRDefault="0055103B" w:rsidP="00DF7A98">
      <w:pPr>
        <w:rPr>
          <w:rFonts w:cs="Arial"/>
        </w:rPr>
      </w:pPr>
    </w:p>
    <w:p w14:paraId="33D69CAF" w14:textId="77777777" w:rsidR="00AD29A0" w:rsidRDefault="00AD29A0" w:rsidP="00DF7A98">
      <w:pPr>
        <w:rPr>
          <w:rFonts w:cs="Arial"/>
        </w:rPr>
      </w:pPr>
    </w:p>
    <w:p w14:paraId="4B45B0BA" w14:textId="77777777" w:rsidR="00AD29A0" w:rsidRDefault="00AD29A0" w:rsidP="00DF7A98">
      <w:pPr>
        <w:rPr>
          <w:rFonts w:cs="Arial"/>
        </w:rPr>
      </w:pPr>
    </w:p>
    <w:p w14:paraId="4B99B087" w14:textId="77777777" w:rsidR="00710D4D" w:rsidRDefault="00710D4D" w:rsidP="009748AD">
      <w:pPr>
        <w:ind w:firstLine="360"/>
        <w:rPr>
          <w:rFonts w:cs="Arial"/>
          <w:b/>
        </w:rPr>
      </w:pPr>
      <w:r>
        <w:rPr>
          <w:rFonts w:cs="Arial"/>
          <w:b/>
        </w:rPr>
        <w:t>Environmental Implications</w:t>
      </w:r>
    </w:p>
    <w:p w14:paraId="62160687" w14:textId="77777777" w:rsidR="0055103B" w:rsidRDefault="0055103B" w:rsidP="009748AD">
      <w:pPr>
        <w:ind w:firstLine="360"/>
        <w:rPr>
          <w:rFonts w:cs="Arial"/>
          <w:b/>
        </w:rPr>
      </w:pPr>
    </w:p>
    <w:p w14:paraId="020560EF" w14:textId="77777777" w:rsidR="00710D4D" w:rsidRDefault="00710D4D" w:rsidP="009471F5">
      <w:pPr>
        <w:pStyle w:val="ListParagraph"/>
        <w:numPr>
          <w:ilvl w:val="0"/>
          <w:numId w:val="1"/>
        </w:numPr>
        <w:rPr>
          <w:rFonts w:cs="Arial"/>
        </w:rPr>
      </w:pPr>
      <w:r w:rsidRPr="00B65FC8">
        <w:rPr>
          <w:rFonts w:cs="Arial"/>
        </w:rPr>
        <w:t xml:space="preserve">All staff </w:t>
      </w:r>
      <w:proofErr w:type="gramStart"/>
      <w:r w:rsidRPr="00B65FC8">
        <w:rPr>
          <w:rFonts w:cs="Arial"/>
        </w:rPr>
        <w:t>are</w:t>
      </w:r>
      <w:proofErr w:type="gramEnd"/>
      <w:r w:rsidRPr="00B65FC8">
        <w:rPr>
          <w:rFonts w:cs="Arial"/>
        </w:rPr>
        <w:t xml:space="preserve"> </w:t>
      </w:r>
      <w:r>
        <w:rPr>
          <w:rFonts w:cs="Arial"/>
        </w:rPr>
        <w:t>conscious of the environmental implications of service delivery and will always seek the lowest impact route where possible.</w:t>
      </w:r>
      <w:r w:rsidR="00B140B0">
        <w:rPr>
          <w:rFonts w:cs="Arial"/>
        </w:rPr>
        <w:t xml:space="preserve"> This will include journey sharing where feasible, remote working to reduce number of journeys taken</w:t>
      </w:r>
      <w:r w:rsidR="00426B97">
        <w:rPr>
          <w:rFonts w:cs="Arial"/>
        </w:rPr>
        <w:t>, reducing use of paper and sourcing products and materials from sustainable origins.</w:t>
      </w:r>
    </w:p>
    <w:p w14:paraId="236455EA" w14:textId="77777777" w:rsidR="00375FCC" w:rsidRPr="00701CEC" w:rsidRDefault="00375FCC" w:rsidP="00710D4D">
      <w:pPr>
        <w:rPr>
          <w:rFonts w:cs="Arial"/>
          <w:b/>
          <w:highlight w:val="yellow"/>
        </w:rPr>
      </w:pPr>
    </w:p>
    <w:p w14:paraId="5B40C87A" w14:textId="77777777" w:rsidR="007F2EA3" w:rsidRDefault="007F2EA3" w:rsidP="009748AD">
      <w:pPr>
        <w:ind w:firstLine="360"/>
        <w:rPr>
          <w:rFonts w:cs="Arial"/>
          <w:b/>
        </w:rPr>
      </w:pPr>
      <w:r>
        <w:rPr>
          <w:rFonts w:cs="Arial"/>
          <w:b/>
        </w:rPr>
        <w:t>Risk</w:t>
      </w:r>
      <w:r w:rsidR="00F855DE">
        <w:rPr>
          <w:rFonts w:cs="Arial"/>
          <w:b/>
        </w:rPr>
        <w:t xml:space="preserve"> Implications</w:t>
      </w:r>
    </w:p>
    <w:p w14:paraId="5F57D253" w14:textId="77777777" w:rsidR="00052682" w:rsidRDefault="00052682" w:rsidP="009748AD">
      <w:pPr>
        <w:ind w:firstLine="360"/>
        <w:rPr>
          <w:rFonts w:cs="Arial"/>
          <w:b/>
        </w:rPr>
      </w:pPr>
    </w:p>
    <w:p w14:paraId="472CAA78" w14:textId="77777777" w:rsidR="00713675" w:rsidRPr="00AD29A0" w:rsidRDefault="0058542B" w:rsidP="00713675">
      <w:pPr>
        <w:pStyle w:val="ListParagraph"/>
        <w:numPr>
          <w:ilvl w:val="0"/>
          <w:numId w:val="1"/>
        </w:numPr>
        <w:rPr>
          <w:sz w:val="20"/>
        </w:rPr>
      </w:pPr>
      <w:r w:rsidRPr="00AD29A0">
        <w:rPr>
          <w:rFonts w:cs="Arial"/>
        </w:rPr>
        <w:t xml:space="preserve">Team specific risks are </w:t>
      </w:r>
      <w:r w:rsidR="0055103B" w:rsidRPr="00AD29A0">
        <w:rPr>
          <w:rFonts w:cs="Arial"/>
        </w:rPr>
        <w:t>managed through periodic assessments and are mitigated accordingly with appropriate response and control measures.</w:t>
      </w:r>
      <w:r w:rsidR="00F01CEC" w:rsidRPr="00AD29A0">
        <w:rPr>
          <w:rFonts w:cs="Arial"/>
        </w:rPr>
        <w:t xml:space="preserve"> </w:t>
      </w:r>
    </w:p>
    <w:p w14:paraId="1794A226" w14:textId="77777777" w:rsidR="0058542B" w:rsidRDefault="0058542B" w:rsidP="00713675">
      <w:pPr>
        <w:rPr>
          <w:sz w:val="20"/>
        </w:rPr>
      </w:pPr>
    </w:p>
    <w:p w14:paraId="3C1D5C81" w14:textId="77777777" w:rsidR="0058542B" w:rsidRDefault="0058542B" w:rsidP="00713675">
      <w:pPr>
        <w:rPr>
          <w:sz w:val="20"/>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522"/>
      </w:tblGrid>
      <w:tr w:rsidR="00713675" w14:paraId="3E80B5C4" w14:textId="77777777">
        <w:tc>
          <w:tcPr>
            <w:tcW w:w="8522" w:type="dxa"/>
          </w:tcPr>
          <w:p w14:paraId="4D728C64" w14:textId="77777777" w:rsidR="00713675" w:rsidRDefault="00713675" w:rsidP="00855C66">
            <w:pPr>
              <w:tabs>
                <w:tab w:val="left" w:pos="720"/>
                <w:tab w:val="left" w:pos="1440"/>
                <w:tab w:val="left" w:pos="2160"/>
                <w:tab w:val="left" w:pos="2880"/>
              </w:tabs>
            </w:pPr>
            <w:r>
              <w:rPr>
                <w:b/>
                <w:bCs/>
              </w:rPr>
              <w:t>Name and contact details of author:-</w:t>
            </w:r>
          </w:p>
        </w:tc>
      </w:tr>
      <w:tr w:rsidR="00713675" w14:paraId="5EB30A63" w14:textId="77777777">
        <w:tc>
          <w:tcPr>
            <w:tcW w:w="8522" w:type="dxa"/>
          </w:tcPr>
          <w:p w14:paraId="6AC9E715" w14:textId="77777777" w:rsidR="00713675" w:rsidRDefault="00E55FA1" w:rsidP="00855C66">
            <w:pPr>
              <w:tabs>
                <w:tab w:val="left" w:pos="720"/>
                <w:tab w:val="left" w:pos="1440"/>
                <w:tab w:val="left" w:pos="2160"/>
                <w:tab w:val="left" w:pos="2880"/>
              </w:tabs>
            </w:pPr>
            <w:r>
              <w:t>Scott Warner</w:t>
            </w:r>
          </w:p>
        </w:tc>
      </w:tr>
      <w:tr w:rsidR="00713675" w14:paraId="10205264" w14:textId="77777777">
        <w:tc>
          <w:tcPr>
            <w:tcW w:w="8522" w:type="dxa"/>
          </w:tcPr>
          <w:p w14:paraId="15A25840" w14:textId="77777777" w:rsidR="00713675" w:rsidRDefault="004454D3" w:rsidP="004454D3">
            <w:pPr>
              <w:tabs>
                <w:tab w:val="left" w:pos="720"/>
                <w:tab w:val="left" w:pos="1440"/>
                <w:tab w:val="left" w:pos="2160"/>
                <w:tab w:val="left" w:pos="2880"/>
              </w:tabs>
            </w:pPr>
            <w:r>
              <w:t xml:space="preserve">Counter Fraud </w:t>
            </w:r>
            <w:r w:rsidR="00E55FA1">
              <w:t>Manager</w:t>
            </w:r>
          </w:p>
        </w:tc>
      </w:tr>
      <w:tr w:rsidR="00713675" w14:paraId="42AEB610" w14:textId="77777777">
        <w:tc>
          <w:tcPr>
            <w:tcW w:w="8522" w:type="dxa"/>
          </w:tcPr>
          <w:p w14:paraId="43057037" w14:textId="77777777" w:rsidR="00713675" w:rsidRDefault="00DD3D8A" w:rsidP="004454D3">
            <w:pPr>
              <w:tabs>
                <w:tab w:val="left" w:pos="720"/>
                <w:tab w:val="left" w:pos="1440"/>
                <w:tab w:val="left" w:pos="2160"/>
                <w:tab w:val="left" w:pos="2880"/>
              </w:tabs>
            </w:pPr>
            <w:r>
              <w:t>Financial Services</w:t>
            </w:r>
            <w:r w:rsidR="00713675">
              <w:t xml:space="preserve"> / </w:t>
            </w:r>
            <w:r w:rsidR="004454D3">
              <w:t>Counter Fraud Team</w:t>
            </w:r>
          </w:p>
        </w:tc>
      </w:tr>
      <w:tr w:rsidR="00713675" w14:paraId="531372AB" w14:textId="77777777">
        <w:tc>
          <w:tcPr>
            <w:tcW w:w="8522" w:type="dxa"/>
          </w:tcPr>
          <w:p w14:paraId="438B539C" w14:textId="77777777" w:rsidR="00713675" w:rsidRDefault="00713675" w:rsidP="004454D3">
            <w:pPr>
              <w:tabs>
                <w:tab w:val="left" w:pos="720"/>
                <w:tab w:val="left" w:pos="1440"/>
                <w:tab w:val="left" w:pos="2160"/>
                <w:tab w:val="left" w:pos="2880"/>
              </w:tabs>
              <w:rPr>
                <w:color w:val="0000FF"/>
                <w:u w:val="single"/>
              </w:rPr>
            </w:pPr>
            <w:r>
              <w:t xml:space="preserve">Tel:  01865 </w:t>
            </w:r>
            <w:r w:rsidR="00E55FA1">
              <w:t>252158</w:t>
            </w:r>
            <w:r>
              <w:t xml:space="preserve">  e-mail:  </w:t>
            </w:r>
            <w:r w:rsidR="00E55FA1">
              <w:t>swarner@oxford.gov.uk</w:t>
            </w:r>
          </w:p>
        </w:tc>
      </w:tr>
    </w:tbl>
    <w:p w14:paraId="2C22F2A6" w14:textId="77777777" w:rsidR="00F4367A" w:rsidRDefault="00F4367A" w:rsidP="00F01CEC">
      <w:pPr>
        <w:rPr>
          <w:rFonts w:cs="Arial"/>
          <w:b/>
          <w:bCs/>
          <w:sz w:val="20"/>
        </w:rPr>
      </w:pPr>
    </w:p>
    <w:sectPr w:rsidR="00F4367A" w:rsidSect="00395E75">
      <w:footerReference w:type="default" r:id="rId12"/>
      <w:pgSz w:w="11906" w:h="16838"/>
      <w:pgMar w:top="1440" w:right="1800" w:bottom="1440" w:left="1800" w:header="708" w:footer="16"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F6D48DB" w15:done="0"/>
  <w15:commentEx w15:paraId="2E90E169" w15:done="0"/>
  <w15:commentEx w15:paraId="0724498C" w15:done="0"/>
  <w15:commentEx w15:paraId="16262F84" w15:done="0"/>
  <w15:commentEx w15:paraId="51F9A282" w15:done="0"/>
  <w15:commentEx w15:paraId="70DC40F9" w15:done="0"/>
  <w15:commentEx w15:paraId="4CB571F0" w15:done="0"/>
  <w15:commentEx w15:paraId="67E0EA2A" w15:done="0"/>
  <w15:commentEx w15:paraId="3A842F44" w15:done="0"/>
  <w15:commentEx w15:paraId="7C160DA7" w15:done="0"/>
  <w15:commentEx w15:paraId="7516CA95" w15:done="0"/>
  <w15:commentEx w15:paraId="0666AD58" w15:done="0"/>
  <w15:commentEx w15:paraId="2C14BC25" w15:done="0"/>
  <w15:commentEx w15:paraId="3282B39B" w15:done="0"/>
  <w15:commentEx w15:paraId="5B3104D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B4DD5C" w14:textId="77777777" w:rsidR="00391798" w:rsidRDefault="00391798">
      <w:r>
        <w:separator/>
      </w:r>
    </w:p>
  </w:endnote>
  <w:endnote w:type="continuationSeparator" w:id="0">
    <w:p w14:paraId="57C9ADDA" w14:textId="77777777" w:rsidR="00391798" w:rsidRDefault="00391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3482027"/>
      <w:docPartObj>
        <w:docPartGallery w:val="Page Numbers (Bottom of Page)"/>
        <w:docPartUnique/>
      </w:docPartObj>
    </w:sdtPr>
    <w:sdtEndPr>
      <w:rPr>
        <w:noProof/>
      </w:rPr>
    </w:sdtEndPr>
    <w:sdtContent>
      <w:p w14:paraId="21395303" w14:textId="77777777" w:rsidR="00036F46" w:rsidRDefault="00036F46">
        <w:pPr>
          <w:pStyle w:val="Footer"/>
          <w:jc w:val="right"/>
        </w:pPr>
        <w:r>
          <w:fldChar w:fldCharType="begin"/>
        </w:r>
        <w:r>
          <w:instrText xml:space="preserve"> PAGE   \* MERGEFORMAT </w:instrText>
        </w:r>
        <w:r>
          <w:fldChar w:fldCharType="separate"/>
        </w:r>
        <w:r w:rsidR="006C5FDC">
          <w:rPr>
            <w:noProof/>
          </w:rPr>
          <w:t>7</w:t>
        </w:r>
        <w:r>
          <w:rPr>
            <w:noProof/>
          </w:rPr>
          <w:fldChar w:fldCharType="end"/>
        </w:r>
      </w:p>
    </w:sdtContent>
  </w:sdt>
  <w:p w14:paraId="2F3268D7" w14:textId="77777777" w:rsidR="00036F46" w:rsidRDefault="00036F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D0A84B" w14:textId="77777777" w:rsidR="00391798" w:rsidRDefault="00391798">
      <w:r>
        <w:separator/>
      </w:r>
    </w:p>
  </w:footnote>
  <w:footnote w:type="continuationSeparator" w:id="0">
    <w:p w14:paraId="25DD25C4" w14:textId="77777777" w:rsidR="00391798" w:rsidRDefault="003917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E67A7"/>
    <w:multiLevelType w:val="hybridMultilevel"/>
    <w:tmpl w:val="7A9410AE"/>
    <w:lvl w:ilvl="0" w:tplc="E7F67E26">
      <w:start w:val="19"/>
      <w:numFmt w:val="decimal"/>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6D724C2"/>
    <w:multiLevelType w:val="hybridMultilevel"/>
    <w:tmpl w:val="071AADD0"/>
    <w:lvl w:ilvl="0" w:tplc="0809000F">
      <w:start w:val="1"/>
      <w:numFmt w:val="decimal"/>
      <w:lvlText w:val="%1."/>
      <w:lvlJc w:val="left"/>
      <w:pPr>
        <w:ind w:left="360" w:hanging="360"/>
      </w:pPr>
      <w:rPr>
        <w:rFonts w:hint="default"/>
        <w:b w:val="0"/>
      </w:rPr>
    </w:lvl>
    <w:lvl w:ilvl="1" w:tplc="08090001">
      <w:start w:val="1"/>
      <w:numFmt w:val="bullet"/>
      <w:lvlText w:val=""/>
      <w:lvlJc w:val="left"/>
      <w:pPr>
        <w:ind w:left="1080" w:hanging="360"/>
      </w:pPr>
      <w:rPr>
        <w:rFonts w:ascii="Symbol" w:hAnsi="Symbol" w:hint="default"/>
        <w:b w:val="0"/>
        <w:color w:val="auto"/>
      </w:rPr>
    </w:lvl>
    <w:lvl w:ilvl="2" w:tplc="CD886F06">
      <w:start w:val="1"/>
      <w:numFmt w:val="lowerLetter"/>
      <w:lvlText w:val="%3."/>
      <w:lvlJc w:val="left"/>
      <w:pPr>
        <w:ind w:left="1980" w:hanging="360"/>
      </w:pPr>
      <w:rPr>
        <w:rFonts w:hint="default"/>
        <w:b w:val="0"/>
        <w:color w:val="auto"/>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1141130B"/>
    <w:multiLevelType w:val="hybridMultilevel"/>
    <w:tmpl w:val="F89E5202"/>
    <w:lvl w:ilvl="0" w:tplc="E5A20DD0">
      <w:start w:val="18"/>
      <w:numFmt w:val="decimal"/>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5824D74"/>
    <w:multiLevelType w:val="hybridMultilevel"/>
    <w:tmpl w:val="F4646788"/>
    <w:lvl w:ilvl="0" w:tplc="3C2CD66A">
      <w:start w:val="15"/>
      <w:numFmt w:val="decimal"/>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C7B4E3B"/>
    <w:multiLevelType w:val="hybridMultilevel"/>
    <w:tmpl w:val="E46224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0A6185D"/>
    <w:multiLevelType w:val="hybridMultilevel"/>
    <w:tmpl w:val="B99AC0C0"/>
    <w:lvl w:ilvl="0" w:tplc="0810CE58">
      <w:start w:val="19"/>
      <w:numFmt w:val="decimal"/>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ABE19CA"/>
    <w:multiLevelType w:val="hybridMultilevel"/>
    <w:tmpl w:val="12349A8C"/>
    <w:lvl w:ilvl="0" w:tplc="51F807CC">
      <w:start w:val="21"/>
      <w:numFmt w:val="decimal"/>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CBD3993"/>
    <w:multiLevelType w:val="hybridMultilevel"/>
    <w:tmpl w:val="EF7E74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4E4874D2"/>
    <w:multiLevelType w:val="hybridMultilevel"/>
    <w:tmpl w:val="C0647470"/>
    <w:lvl w:ilvl="0" w:tplc="FAB48D56">
      <w:start w:val="20"/>
      <w:numFmt w:val="decimal"/>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4DC44DF"/>
    <w:multiLevelType w:val="hybridMultilevel"/>
    <w:tmpl w:val="AEE064C0"/>
    <w:lvl w:ilvl="0" w:tplc="51F807CC">
      <w:start w:val="21"/>
      <w:numFmt w:val="decimal"/>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6B778E7"/>
    <w:multiLevelType w:val="hybridMultilevel"/>
    <w:tmpl w:val="142EA9E0"/>
    <w:lvl w:ilvl="0" w:tplc="7A30E5AC">
      <w:start w:val="7"/>
      <w:numFmt w:val="decimal"/>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B103663"/>
    <w:multiLevelType w:val="hybridMultilevel"/>
    <w:tmpl w:val="6FA6A6CA"/>
    <w:lvl w:ilvl="0" w:tplc="C26C1A20">
      <w:start w:val="19"/>
      <w:numFmt w:val="decimal"/>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F0434"/>
    <w:multiLevelType w:val="hybridMultilevel"/>
    <w:tmpl w:val="F7F40A58"/>
    <w:lvl w:ilvl="0" w:tplc="0809000F">
      <w:start w:val="1"/>
      <w:numFmt w:val="decimal"/>
      <w:lvlText w:val="%1."/>
      <w:lvlJc w:val="left"/>
      <w:pPr>
        <w:ind w:left="1058" w:hanging="360"/>
      </w:pPr>
    </w:lvl>
    <w:lvl w:ilvl="1" w:tplc="08090019" w:tentative="1">
      <w:start w:val="1"/>
      <w:numFmt w:val="lowerLetter"/>
      <w:lvlText w:val="%2."/>
      <w:lvlJc w:val="left"/>
      <w:pPr>
        <w:ind w:left="1778" w:hanging="360"/>
      </w:pPr>
    </w:lvl>
    <w:lvl w:ilvl="2" w:tplc="0809001B" w:tentative="1">
      <w:start w:val="1"/>
      <w:numFmt w:val="lowerRoman"/>
      <w:lvlText w:val="%3."/>
      <w:lvlJc w:val="right"/>
      <w:pPr>
        <w:ind w:left="2498" w:hanging="180"/>
      </w:pPr>
    </w:lvl>
    <w:lvl w:ilvl="3" w:tplc="0809000F" w:tentative="1">
      <w:start w:val="1"/>
      <w:numFmt w:val="decimal"/>
      <w:lvlText w:val="%4."/>
      <w:lvlJc w:val="left"/>
      <w:pPr>
        <w:ind w:left="3218" w:hanging="360"/>
      </w:pPr>
    </w:lvl>
    <w:lvl w:ilvl="4" w:tplc="08090019" w:tentative="1">
      <w:start w:val="1"/>
      <w:numFmt w:val="lowerLetter"/>
      <w:lvlText w:val="%5."/>
      <w:lvlJc w:val="left"/>
      <w:pPr>
        <w:ind w:left="3938" w:hanging="360"/>
      </w:pPr>
    </w:lvl>
    <w:lvl w:ilvl="5" w:tplc="0809001B" w:tentative="1">
      <w:start w:val="1"/>
      <w:numFmt w:val="lowerRoman"/>
      <w:lvlText w:val="%6."/>
      <w:lvlJc w:val="right"/>
      <w:pPr>
        <w:ind w:left="4658" w:hanging="180"/>
      </w:pPr>
    </w:lvl>
    <w:lvl w:ilvl="6" w:tplc="0809000F" w:tentative="1">
      <w:start w:val="1"/>
      <w:numFmt w:val="decimal"/>
      <w:lvlText w:val="%7."/>
      <w:lvlJc w:val="left"/>
      <w:pPr>
        <w:ind w:left="5378" w:hanging="360"/>
      </w:pPr>
    </w:lvl>
    <w:lvl w:ilvl="7" w:tplc="08090019" w:tentative="1">
      <w:start w:val="1"/>
      <w:numFmt w:val="lowerLetter"/>
      <w:lvlText w:val="%8."/>
      <w:lvlJc w:val="left"/>
      <w:pPr>
        <w:ind w:left="6098" w:hanging="360"/>
      </w:pPr>
    </w:lvl>
    <w:lvl w:ilvl="8" w:tplc="0809001B" w:tentative="1">
      <w:start w:val="1"/>
      <w:numFmt w:val="lowerRoman"/>
      <w:lvlText w:val="%9."/>
      <w:lvlJc w:val="right"/>
      <w:pPr>
        <w:ind w:left="6818" w:hanging="180"/>
      </w:pPr>
    </w:lvl>
  </w:abstractNum>
  <w:abstractNum w:abstractNumId="13">
    <w:nsid w:val="5EE24C18"/>
    <w:multiLevelType w:val="hybridMultilevel"/>
    <w:tmpl w:val="087843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D7D1DA8"/>
    <w:multiLevelType w:val="hybridMultilevel"/>
    <w:tmpl w:val="D05878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14"/>
  </w:num>
  <w:num w:numId="3">
    <w:abstractNumId w:val="7"/>
  </w:num>
  <w:num w:numId="4">
    <w:abstractNumId w:val="10"/>
  </w:num>
  <w:num w:numId="5">
    <w:abstractNumId w:val="3"/>
  </w:num>
  <w:num w:numId="6">
    <w:abstractNumId w:val="2"/>
  </w:num>
  <w:num w:numId="7">
    <w:abstractNumId w:val="0"/>
  </w:num>
  <w:num w:numId="8">
    <w:abstractNumId w:val="5"/>
  </w:num>
  <w:num w:numId="9">
    <w:abstractNumId w:val="11"/>
  </w:num>
  <w:num w:numId="10">
    <w:abstractNumId w:val="8"/>
  </w:num>
  <w:num w:numId="11">
    <w:abstractNumId w:val="6"/>
  </w:num>
  <w:num w:numId="12">
    <w:abstractNumId w:val="9"/>
  </w:num>
  <w:num w:numId="13">
    <w:abstractNumId w:val="12"/>
  </w:num>
  <w:num w:numId="14">
    <w:abstractNumId w:val="13"/>
  </w:num>
  <w:num w:numId="15">
    <w:abstractNumId w:val="4"/>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ENNEDY Nigel">
    <w15:presenceInfo w15:providerId="AD" w15:userId="S-1-5-21-38480843-1272404328-111032338-17904"/>
  </w15:person>
  <w15:person w15:author="ECCLESTONE Marcia">
    <w15:presenceInfo w15:providerId="AD" w15:userId="S-1-5-21-38480843-1272404328-111032338-428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292"/>
    <w:rsid w:val="000039A5"/>
    <w:rsid w:val="00005690"/>
    <w:rsid w:val="00006D48"/>
    <w:rsid w:val="000116BF"/>
    <w:rsid w:val="000131A8"/>
    <w:rsid w:val="00014C21"/>
    <w:rsid w:val="000150A0"/>
    <w:rsid w:val="00016121"/>
    <w:rsid w:val="000168F7"/>
    <w:rsid w:val="00022CC2"/>
    <w:rsid w:val="00022DF4"/>
    <w:rsid w:val="00026745"/>
    <w:rsid w:val="00030F54"/>
    <w:rsid w:val="00032229"/>
    <w:rsid w:val="0003329B"/>
    <w:rsid w:val="00036F46"/>
    <w:rsid w:val="00047342"/>
    <w:rsid w:val="00051277"/>
    <w:rsid w:val="00052682"/>
    <w:rsid w:val="00052BE4"/>
    <w:rsid w:val="00054FBB"/>
    <w:rsid w:val="00056263"/>
    <w:rsid w:val="0006064C"/>
    <w:rsid w:val="0006156F"/>
    <w:rsid w:val="00061BBD"/>
    <w:rsid w:val="0006271F"/>
    <w:rsid w:val="000644C5"/>
    <w:rsid w:val="00072CA7"/>
    <w:rsid w:val="00075935"/>
    <w:rsid w:val="000818EF"/>
    <w:rsid w:val="0008355D"/>
    <w:rsid w:val="00083DAF"/>
    <w:rsid w:val="000909D8"/>
    <w:rsid w:val="000952CD"/>
    <w:rsid w:val="0009551B"/>
    <w:rsid w:val="000A1F56"/>
    <w:rsid w:val="000A59B7"/>
    <w:rsid w:val="000A5B88"/>
    <w:rsid w:val="000B0CD0"/>
    <w:rsid w:val="000B234E"/>
    <w:rsid w:val="000B353D"/>
    <w:rsid w:val="000B6D93"/>
    <w:rsid w:val="000B713A"/>
    <w:rsid w:val="000C2410"/>
    <w:rsid w:val="000C3928"/>
    <w:rsid w:val="000C4BAF"/>
    <w:rsid w:val="000D30F5"/>
    <w:rsid w:val="000D4BAE"/>
    <w:rsid w:val="000E3A8A"/>
    <w:rsid w:val="000E3C8F"/>
    <w:rsid w:val="000E6718"/>
    <w:rsid w:val="000E6B3C"/>
    <w:rsid w:val="000F0F61"/>
    <w:rsid w:val="000F6C67"/>
    <w:rsid w:val="001046A6"/>
    <w:rsid w:val="00106937"/>
    <w:rsid w:val="001137DA"/>
    <w:rsid w:val="001143CE"/>
    <w:rsid w:val="00115173"/>
    <w:rsid w:val="00115C3E"/>
    <w:rsid w:val="001236E9"/>
    <w:rsid w:val="00123F3B"/>
    <w:rsid w:val="001309C9"/>
    <w:rsid w:val="0013241E"/>
    <w:rsid w:val="00135AF4"/>
    <w:rsid w:val="00140080"/>
    <w:rsid w:val="001443A2"/>
    <w:rsid w:val="00144900"/>
    <w:rsid w:val="001546F2"/>
    <w:rsid w:val="00164331"/>
    <w:rsid w:val="00165940"/>
    <w:rsid w:val="00165AB5"/>
    <w:rsid w:val="001660D3"/>
    <w:rsid w:val="001675BB"/>
    <w:rsid w:val="0016784F"/>
    <w:rsid w:val="0017091A"/>
    <w:rsid w:val="0017177F"/>
    <w:rsid w:val="00172E8A"/>
    <w:rsid w:val="00173F5F"/>
    <w:rsid w:val="001744A4"/>
    <w:rsid w:val="00180434"/>
    <w:rsid w:val="00183DB0"/>
    <w:rsid w:val="001850B6"/>
    <w:rsid w:val="00187847"/>
    <w:rsid w:val="001878F4"/>
    <w:rsid w:val="00191A1B"/>
    <w:rsid w:val="001974C0"/>
    <w:rsid w:val="001A5BB0"/>
    <w:rsid w:val="001B1B55"/>
    <w:rsid w:val="001B2B99"/>
    <w:rsid w:val="001B3501"/>
    <w:rsid w:val="001B41B8"/>
    <w:rsid w:val="001B5C57"/>
    <w:rsid w:val="001C0875"/>
    <w:rsid w:val="001C09D5"/>
    <w:rsid w:val="001C2177"/>
    <w:rsid w:val="001C2BEE"/>
    <w:rsid w:val="001C6357"/>
    <w:rsid w:val="001D31E1"/>
    <w:rsid w:val="001D54A7"/>
    <w:rsid w:val="001D5732"/>
    <w:rsid w:val="001D76DE"/>
    <w:rsid w:val="001E0E9F"/>
    <w:rsid w:val="001E29B3"/>
    <w:rsid w:val="001E59B8"/>
    <w:rsid w:val="001E6847"/>
    <w:rsid w:val="001E6C28"/>
    <w:rsid w:val="001E7E61"/>
    <w:rsid w:val="001F5EB0"/>
    <w:rsid w:val="001F7D3D"/>
    <w:rsid w:val="00201566"/>
    <w:rsid w:val="002049AE"/>
    <w:rsid w:val="002133FC"/>
    <w:rsid w:val="0021369D"/>
    <w:rsid w:val="0021614D"/>
    <w:rsid w:val="00225E90"/>
    <w:rsid w:val="002306C8"/>
    <w:rsid w:val="002313E2"/>
    <w:rsid w:val="00232973"/>
    <w:rsid w:val="00235785"/>
    <w:rsid w:val="0023596B"/>
    <w:rsid w:val="00237916"/>
    <w:rsid w:val="002421E5"/>
    <w:rsid w:val="00244913"/>
    <w:rsid w:val="002513A0"/>
    <w:rsid w:val="0025222C"/>
    <w:rsid w:val="00257142"/>
    <w:rsid w:val="002617EF"/>
    <w:rsid w:val="00262002"/>
    <w:rsid w:val="0026746D"/>
    <w:rsid w:val="002704EB"/>
    <w:rsid w:val="00274BC1"/>
    <w:rsid w:val="0027761A"/>
    <w:rsid w:val="0028256B"/>
    <w:rsid w:val="00283DE0"/>
    <w:rsid w:val="00285BDB"/>
    <w:rsid w:val="0028754B"/>
    <w:rsid w:val="002932BC"/>
    <w:rsid w:val="00295245"/>
    <w:rsid w:val="00297E04"/>
    <w:rsid w:val="002A48DC"/>
    <w:rsid w:val="002A4E42"/>
    <w:rsid w:val="002B0F78"/>
    <w:rsid w:val="002B7E3D"/>
    <w:rsid w:val="002C1A19"/>
    <w:rsid w:val="002C38EB"/>
    <w:rsid w:val="002D3D47"/>
    <w:rsid w:val="002E0FC4"/>
    <w:rsid w:val="002F47A5"/>
    <w:rsid w:val="00302A89"/>
    <w:rsid w:val="00302AD0"/>
    <w:rsid w:val="00302C1D"/>
    <w:rsid w:val="00307935"/>
    <w:rsid w:val="00311DCC"/>
    <w:rsid w:val="00316323"/>
    <w:rsid w:val="00316DEA"/>
    <w:rsid w:val="00320230"/>
    <w:rsid w:val="003203AD"/>
    <w:rsid w:val="00324DA2"/>
    <w:rsid w:val="003267D8"/>
    <w:rsid w:val="003367B7"/>
    <w:rsid w:val="003405B5"/>
    <w:rsid w:val="00340B34"/>
    <w:rsid w:val="00341D2E"/>
    <w:rsid w:val="00350F3A"/>
    <w:rsid w:val="0035344D"/>
    <w:rsid w:val="00355099"/>
    <w:rsid w:val="00355939"/>
    <w:rsid w:val="00356144"/>
    <w:rsid w:val="00363868"/>
    <w:rsid w:val="00364C98"/>
    <w:rsid w:val="00365ADB"/>
    <w:rsid w:val="003677F2"/>
    <w:rsid w:val="00375FCC"/>
    <w:rsid w:val="003800A7"/>
    <w:rsid w:val="00381606"/>
    <w:rsid w:val="00385846"/>
    <w:rsid w:val="00391798"/>
    <w:rsid w:val="0039181F"/>
    <w:rsid w:val="00395E75"/>
    <w:rsid w:val="003A0019"/>
    <w:rsid w:val="003A27B1"/>
    <w:rsid w:val="003A3949"/>
    <w:rsid w:val="003A626C"/>
    <w:rsid w:val="003B0413"/>
    <w:rsid w:val="003D0AE3"/>
    <w:rsid w:val="003D2C71"/>
    <w:rsid w:val="003D7522"/>
    <w:rsid w:val="003E2329"/>
    <w:rsid w:val="003F04A4"/>
    <w:rsid w:val="003F3DDB"/>
    <w:rsid w:val="003F6233"/>
    <w:rsid w:val="0040008B"/>
    <w:rsid w:val="0040038D"/>
    <w:rsid w:val="00402823"/>
    <w:rsid w:val="00406728"/>
    <w:rsid w:val="00406ED6"/>
    <w:rsid w:val="00410548"/>
    <w:rsid w:val="004126BB"/>
    <w:rsid w:val="004126CD"/>
    <w:rsid w:val="0041516E"/>
    <w:rsid w:val="00415C75"/>
    <w:rsid w:val="0042265E"/>
    <w:rsid w:val="00426B97"/>
    <w:rsid w:val="004272B8"/>
    <w:rsid w:val="00440973"/>
    <w:rsid w:val="004454D3"/>
    <w:rsid w:val="00446ACB"/>
    <w:rsid w:val="00447892"/>
    <w:rsid w:val="0045218C"/>
    <w:rsid w:val="00465C44"/>
    <w:rsid w:val="00465EAF"/>
    <w:rsid w:val="00466414"/>
    <w:rsid w:val="004672DE"/>
    <w:rsid w:val="0047428F"/>
    <w:rsid w:val="004761D2"/>
    <w:rsid w:val="00476314"/>
    <w:rsid w:val="00481D82"/>
    <w:rsid w:val="004832DF"/>
    <w:rsid w:val="00486F1C"/>
    <w:rsid w:val="004870FB"/>
    <w:rsid w:val="004879FF"/>
    <w:rsid w:val="00491015"/>
    <w:rsid w:val="00492497"/>
    <w:rsid w:val="004929C0"/>
    <w:rsid w:val="00493366"/>
    <w:rsid w:val="0049366C"/>
    <w:rsid w:val="00494E8C"/>
    <w:rsid w:val="00495346"/>
    <w:rsid w:val="00495B9F"/>
    <w:rsid w:val="004A155C"/>
    <w:rsid w:val="004A1F3A"/>
    <w:rsid w:val="004A414B"/>
    <w:rsid w:val="004A5164"/>
    <w:rsid w:val="004A6E19"/>
    <w:rsid w:val="004A7601"/>
    <w:rsid w:val="004A77C5"/>
    <w:rsid w:val="004B2009"/>
    <w:rsid w:val="004B20D8"/>
    <w:rsid w:val="004B33E2"/>
    <w:rsid w:val="004B3B92"/>
    <w:rsid w:val="004B68AE"/>
    <w:rsid w:val="004B69C5"/>
    <w:rsid w:val="004C5B6A"/>
    <w:rsid w:val="004C6616"/>
    <w:rsid w:val="004C71E8"/>
    <w:rsid w:val="004D0250"/>
    <w:rsid w:val="004E4791"/>
    <w:rsid w:val="00502CA7"/>
    <w:rsid w:val="00506509"/>
    <w:rsid w:val="0051245F"/>
    <w:rsid w:val="00513ABE"/>
    <w:rsid w:val="00514C63"/>
    <w:rsid w:val="005162E8"/>
    <w:rsid w:val="00520D61"/>
    <w:rsid w:val="0052634D"/>
    <w:rsid w:val="005339D9"/>
    <w:rsid w:val="00542C6B"/>
    <w:rsid w:val="0054330B"/>
    <w:rsid w:val="005437F1"/>
    <w:rsid w:val="0054789C"/>
    <w:rsid w:val="00547A3E"/>
    <w:rsid w:val="00550230"/>
    <w:rsid w:val="0055103B"/>
    <w:rsid w:val="005512A2"/>
    <w:rsid w:val="00560D46"/>
    <w:rsid w:val="00563293"/>
    <w:rsid w:val="0056670B"/>
    <w:rsid w:val="00567EFF"/>
    <w:rsid w:val="005729D3"/>
    <w:rsid w:val="00573FF8"/>
    <w:rsid w:val="00574FAA"/>
    <w:rsid w:val="00577436"/>
    <w:rsid w:val="0058032C"/>
    <w:rsid w:val="005810D4"/>
    <w:rsid w:val="0058170A"/>
    <w:rsid w:val="00582513"/>
    <w:rsid w:val="0058542B"/>
    <w:rsid w:val="00595075"/>
    <w:rsid w:val="005A30DF"/>
    <w:rsid w:val="005A6D59"/>
    <w:rsid w:val="005A73B0"/>
    <w:rsid w:val="005B678B"/>
    <w:rsid w:val="005B7A29"/>
    <w:rsid w:val="005C2014"/>
    <w:rsid w:val="005C256E"/>
    <w:rsid w:val="005C5303"/>
    <w:rsid w:val="005D0BF3"/>
    <w:rsid w:val="005D5FAF"/>
    <w:rsid w:val="005D5FD9"/>
    <w:rsid w:val="005E6162"/>
    <w:rsid w:val="005F1B30"/>
    <w:rsid w:val="005F7ECB"/>
    <w:rsid w:val="00603267"/>
    <w:rsid w:val="00604B06"/>
    <w:rsid w:val="0060790A"/>
    <w:rsid w:val="006109E8"/>
    <w:rsid w:val="00617287"/>
    <w:rsid w:val="0061750F"/>
    <w:rsid w:val="00617E55"/>
    <w:rsid w:val="00623C2F"/>
    <w:rsid w:val="0062633E"/>
    <w:rsid w:val="0063375F"/>
    <w:rsid w:val="0064013D"/>
    <w:rsid w:val="00640FDA"/>
    <w:rsid w:val="00646FC7"/>
    <w:rsid w:val="00647D15"/>
    <w:rsid w:val="00654D52"/>
    <w:rsid w:val="006619B7"/>
    <w:rsid w:val="00663062"/>
    <w:rsid w:val="00663BCC"/>
    <w:rsid w:val="00664156"/>
    <w:rsid w:val="00665459"/>
    <w:rsid w:val="00665FB1"/>
    <w:rsid w:val="00666AFD"/>
    <w:rsid w:val="00666CB3"/>
    <w:rsid w:val="00674107"/>
    <w:rsid w:val="00677435"/>
    <w:rsid w:val="00681B40"/>
    <w:rsid w:val="00692F52"/>
    <w:rsid w:val="0069448D"/>
    <w:rsid w:val="006945DE"/>
    <w:rsid w:val="00694F2E"/>
    <w:rsid w:val="00696543"/>
    <w:rsid w:val="006979B5"/>
    <w:rsid w:val="006A1FF0"/>
    <w:rsid w:val="006B7BB3"/>
    <w:rsid w:val="006C3AED"/>
    <w:rsid w:val="006C5FDC"/>
    <w:rsid w:val="006D3037"/>
    <w:rsid w:val="006D7DB5"/>
    <w:rsid w:val="006E047C"/>
    <w:rsid w:val="006E0CB4"/>
    <w:rsid w:val="006E1D47"/>
    <w:rsid w:val="006E266D"/>
    <w:rsid w:val="006E3B55"/>
    <w:rsid w:val="006F2651"/>
    <w:rsid w:val="006F416B"/>
    <w:rsid w:val="00701CEC"/>
    <w:rsid w:val="00705CC1"/>
    <w:rsid w:val="007076C3"/>
    <w:rsid w:val="00710D4D"/>
    <w:rsid w:val="007116E7"/>
    <w:rsid w:val="00713675"/>
    <w:rsid w:val="007155F0"/>
    <w:rsid w:val="007171DF"/>
    <w:rsid w:val="00733FED"/>
    <w:rsid w:val="0073454D"/>
    <w:rsid w:val="0073457F"/>
    <w:rsid w:val="00740A12"/>
    <w:rsid w:val="00744526"/>
    <w:rsid w:val="00751428"/>
    <w:rsid w:val="0075252D"/>
    <w:rsid w:val="00753DFC"/>
    <w:rsid w:val="00763979"/>
    <w:rsid w:val="00764461"/>
    <w:rsid w:val="007665E5"/>
    <w:rsid w:val="00766F5E"/>
    <w:rsid w:val="00773A80"/>
    <w:rsid w:val="00775048"/>
    <w:rsid w:val="00777E40"/>
    <w:rsid w:val="00782EAD"/>
    <w:rsid w:val="007830B1"/>
    <w:rsid w:val="0078570D"/>
    <w:rsid w:val="00785D6D"/>
    <w:rsid w:val="007878F2"/>
    <w:rsid w:val="00790CC4"/>
    <w:rsid w:val="00790EA7"/>
    <w:rsid w:val="007A4803"/>
    <w:rsid w:val="007B675D"/>
    <w:rsid w:val="007B6E54"/>
    <w:rsid w:val="007B7C0A"/>
    <w:rsid w:val="007B7D9D"/>
    <w:rsid w:val="007D3155"/>
    <w:rsid w:val="007D5FAC"/>
    <w:rsid w:val="007E26AE"/>
    <w:rsid w:val="007E51E2"/>
    <w:rsid w:val="007F2AD3"/>
    <w:rsid w:val="007F2EA3"/>
    <w:rsid w:val="0080046D"/>
    <w:rsid w:val="00800A36"/>
    <w:rsid w:val="00805BB0"/>
    <w:rsid w:val="008075A2"/>
    <w:rsid w:val="0081180D"/>
    <w:rsid w:val="0082325F"/>
    <w:rsid w:val="00825D98"/>
    <w:rsid w:val="00832739"/>
    <w:rsid w:val="0084231F"/>
    <w:rsid w:val="00843468"/>
    <w:rsid w:val="00851A20"/>
    <w:rsid w:val="008523FA"/>
    <w:rsid w:val="0085571A"/>
    <w:rsid w:val="00855C66"/>
    <w:rsid w:val="008602E6"/>
    <w:rsid w:val="00862AB0"/>
    <w:rsid w:val="0086540F"/>
    <w:rsid w:val="00875793"/>
    <w:rsid w:val="008808C4"/>
    <w:rsid w:val="00884DB5"/>
    <w:rsid w:val="0088597E"/>
    <w:rsid w:val="008875F6"/>
    <w:rsid w:val="00892395"/>
    <w:rsid w:val="008936C3"/>
    <w:rsid w:val="008A4F30"/>
    <w:rsid w:val="008A4FB8"/>
    <w:rsid w:val="008A548A"/>
    <w:rsid w:val="008B0EC1"/>
    <w:rsid w:val="008C78D4"/>
    <w:rsid w:val="008D3B63"/>
    <w:rsid w:val="008D3DDB"/>
    <w:rsid w:val="008E422A"/>
    <w:rsid w:val="008E56BB"/>
    <w:rsid w:val="008E7E0C"/>
    <w:rsid w:val="008F1AAB"/>
    <w:rsid w:val="008F264B"/>
    <w:rsid w:val="008F4C31"/>
    <w:rsid w:val="009117E1"/>
    <w:rsid w:val="00912083"/>
    <w:rsid w:val="009140B9"/>
    <w:rsid w:val="0091605E"/>
    <w:rsid w:val="009209FE"/>
    <w:rsid w:val="00920E07"/>
    <w:rsid w:val="00921560"/>
    <w:rsid w:val="00924C7B"/>
    <w:rsid w:val="00925A0F"/>
    <w:rsid w:val="00931C3B"/>
    <w:rsid w:val="00932D4B"/>
    <w:rsid w:val="00933AA6"/>
    <w:rsid w:val="00934CCF"/>
    <w:rsid w:val="0093585C"/>
    <w:rsid w:val="00937057"/>
    <w:rsid w:val="009471F5"/>
    <w:rsid w:val="00947567"/>
    <w:rsid w:val="00951391"/>
    <w:rsid w:val="00951EB2"/>
    <w:rsid w:val="00953118"/>
    <w:rsid w:val="00955477"/>
    <w:rsid w:val="00961668"/>
    <w:rsid w:val="00963CF5"/>
    <w:rsid w:val="00967EDA"/>
    <w:rsid w:val="00971689"/>
    <w:rsid w:val="00973E90"/>
    <w:rsid w:val="009748AD"/>
    <w:rsid w:val="009749B2"/>
    <w:rsid w:val="009838EC"/>
    <w:rsid w:val="009919DA"/>
    <w:rsid w:val="00992822"/>
    <w:rsid w:val="009A02CB"/>
    <w:rsid w:val="009A109A"/>
    <w:rsid w:val="009A5555"/>
    <w:rsid w:val="009B2DC1"/>
    <w:rsid w:val="009C017D"/>
    <w:rsid w:val="009C2E88"/>
    <w:rsid w:val="009C38D4"/>
    <w:rsid w:val="009C6448"/>
    <w:rsid w:val="009D074A"/>
    <w:rsid w:val="009D22FC"/>
    <w:rsid w:val="009D4B33"/>
    <w:rsid w:val="009E17A8"/>
    <w:rsid w:val="009E389A"/>
    <w:rsid w:val="009F144F"/>
    <w:rsid w:val="00A071B3"/>
    <w:rsid w:val="00A1002B"/>
    <w:rsid w:val="00A11A70"/>
    <w:rsid w:val="00A1246E"/>
    <w:rsid w:val="00A13D56"/>
    <w:rsid w:val="00A143FD"/>
    <w:rsid w:val="00A20D6F"/>
    <w:rsid w:val="00A2629E"/>
    <w:rsid w:val="00A26F27"/>
    <w:rsid w:val="00A314C9"/>
    <w:rsid w:val="00A35036"/>
    <w:rsid w:val="00A40937"/>
    <w:rsid w:val="00A42B08"/>
    <w:rsid w:val="00A52F2F"/>
    <w:rsid w:val="00A53031"/>
    <w:rsid w:val="00A60102"/>
    <w:rsid w:val="00A630FF"/>
    <w:rsid w:val="00A6330A"/>
    <w:rsid w:val="00A63D9D"/>
    <w:rsid w:val="00A664AE"/>
    <w:rsid w:val="00A710FB"/>
    <w:rsid w:val="00A7547B"/>
    <w:rsid w:val="00A84116"/>
    <w:rsid w:val="00A92D8F"/>
    <w:rsid w:val="00A977D4"/>
    <w:rsid w:val="00AA1D4C"/>
    <w:rsid w:val="00AA29CE"/>
    <w:rsid w:val="00AA3834"/>
    <w:rsid w:val="00AA621C"/>
    <w:rsid w:val="00AB2800"/>
    <w:rsid w:val="00AB2FFE"/>
    <w:rsid w:val="00AB4D1C"/>
    <w:rsid w:val="00AC076F"/>
    <w:rsid w:val="00AC5264"/>
    <w:rsid w:val="00AD29A0"/>
    <w:rsid w:val="00AD3292"/>
    <w:rsid w:val="00AD7E29"/>
    <w:rsid w:val="00AE11F0"/>
    <w:rsid w:val="00AE1CDB"/>
    <w:rsid w:val="00AE591A"/>
    <w:rsid w:val="00AE5AB8"/>
    <w:rsid w:val="00AE6F22"/>
    <w:rsid w:val="00AF136A"/>
    <w:rsid w:val="00AF49E5"/>
    <w:rsid w:val="00AF557C"/>
    <w:rsid w:val="00B01F9E"/>
    <w:rsid w:val="00B03D33"/>
    <w:rsid w:val="00B115D7"/>
    <w:rsid w:val="00B1256A"/>
    <w:rsid w:val="00B140B0"/>
    <w:rsid w:val="00B14373"/>
    <w:rsid w:val="00B17810"/>
    <w:rsid w:val="00B255A6"/>
    <w:rsid w:val="00B26E25"/>
    <w:rsid w:val="00B30F34"/>
    <w:rsid w:val="00B341A7"/>
    <w:rsid w:val="00B34927"/>
    <w:rsid w:val="00B47F0E"/>
    <w:rsid w:val="00B54CB7"/>
    <w:rsid w:val="00B65022"/>
    <w:rsid w:val="00B65FC8"/>
    <w:rsid w:val="00B66F39"/>
    <w:rsid w:val="00B71216"/>
    <w:rsid w:val="00B72E63"/>
    <w:rsid w:val="00B82CFB"/>
    <w:rsid w:val="00BA4032"/>
    <w:rsid w:val="00BA5CEB"/>
    <w:rsid w:val="00BC5B01"/>
    <w:rsid w:val="00BC6F55"/>
    <w:rsid w:val="00BC7BE2"/>
    <w:rsid w:val="00BD1D2B"/>
    <w:rsid w:val="00BD67DF"/>
    <w:rsid w:val="00BE30B1"/>
    <w:rsid w:val="00BE3490"/>
    <w:rsid w:val="00BE4419"/>
    <w:rsid w:val="00BE7F05"/>
    <w:rsid w:val="00BF1862"/>
    <w:rsid w:val="00BF4A91"/>
    <w:rsid w:val="00BF5F44"/>
    <w:rsid w:val="00BF6592"/>
    <w:rsid w:val="00C10750"/>
    <w:rsid w:val="00C116C5"/>
    <w:rsid w:val="00C129E2"/>
    <w:rsid w:val="00C15A06"/>
    <w:rsid w:val="00C17C81"/>
    <w:rsid w:val="00C23198"/>
    <w:rsid w:val="00C2692F"/>
    <w:rsid w:val="00C2724A"/>
    <w:rsid w:val="00C309D1"/>
    <w:rsid w:val="00C334BE"/>
    <w:rsid w:val="00C3462F"/>
    <w:rsid w:val="00C3490B"/>
    <w:rsid w:val="00C35974"/>
    <w:rsid w:val="00C36AFE"/>
    <w:rsid w:val="00C41EB4"/>
    <w:rsid w:val="00C43F63"/>
    <w:rsid w:val="00C45EEB"/>
    <w:rsid w:val="00C57109"/>
    <w:rsid w:val="00C57D42"/>
    <w:rsid w:val="00C61E57"/>
    <w:rsid w:val="00C81994"/>
    <w:rsid w:val="00C82D50"/>
    <w:rsid w:val="00C87E5E"/>
    <w:rsid w:val="00C919EB"/>
    <w:rsid w:val="00C92BB5"/>
    <w:rsid w:val="00CB5690"/>
    <w:rsid w:val="00CC2D43"/>
    <w:rsid w:val="00CC3662"/>
    <w:rsid w:val="00CC54B4"/>
    <w:rsid w:val="00CD0ACF"/>
    <w:rsid w:val="00CD1191"/>
    <w:rsid w:val="00CE0CB5"/>
    <w:rsid w:val="00CE1D03"/>
    <w:rsid w:val="00CE3F98"/>
    <w:rsid w:val="00CE476A"/>
    <w:rsid w:val="00CF1594"/>
    <w:rsid w:val="00CF208A"/>
    <w:rsid w:val="00CF5527"/>
    <w:rsid w:val="00CF67F4"/>
    <w:rsid w:val="00D00019"/>
    <w:rsid w:val="00D0050D"/>
    <w:rsid w:val="00D01BD2"/>
    <w:rsid w:val="00D05CDE"/>
    <w:rsid w:val="00D0750A"/>
    <w:rsid w:val="00D11169"/>
    <w:rsid w:val="00D122C6"/>
    <w:rsid w:val="00D13DA3"/>
    <w:rsid w:val="00D14E57"/>
    <w:rsid w:val="00D171E2"/>
    <w:rsid w:val="00D17EA5"/>
    <w:rsid w:val="00D22B0F"/>
    <w:rsid w:val="00D24B20"/>
    <w:rsid w:val="00D25D20"/>
    <w:rsid w:val="00D345B0"/>
    <w:rsid w:val="00D4472E"/>
    <w:rsid w:val="00D52070"/>
    <w:rsid w:val="00D54FBA"/>
    <w:rsid w:val="00D567E2"/>
    <w:rsid w:val="00D56BB0"/>
    <w:rsid w:val="00D56EA8"/>
    <w:rsid w:val="00D628BA"/>
    <w:rsid w:val="00D637B1"/>
    <w:rsid w:val="00D71587"/>
    <w:rsid w:val="00D7284F"/>
    <w:rsid w:val="00D81D56"/>
    <w:rsid w:val="00D85CE2"/>
    <w:rsid w:val="00D87266"/>
    <w:rsid w:val="00D935C2"/>
    <w:rsid w:val="00D96083"/>
    <w:rsid w:val="00DA0B0F"/>
    <w:rsid w:val="00DA13A8"/>
    <w:rsid w:val="00DA1441"/>
    <w:rsid w:val="00DB3269"/>
    <w:rsid w:val="00DB5AE5"/>
    <w:rsid w:val="00DC598A"/>
    <w:rsid w:val="00DD2E07"/>
    <w:rsid w:val="00DD3A1F"/>
    <w:rsid w:val="00DD3D8A"/>
    <w:rsid w:val="00DE3160"/>
    <w:rsid w:val="00DE3B9E"/>
    <w:rsid w:val="00DE4FAE"/>
    <w:rsid w:val="00DE5B61"/>
    <w:rsid w:val="00DE6130"/>
    <w:rsid w:val="00DE6CBD"/>
    <w:rsid w:val="00DE79DF"/>
    <w:rsid w:val="00DF0A83"/>
    <w:rsid w:val="00DF12AB"/>
    <w:rsid w:val="00DF7A98"/>
    <w:rsid w:val="00DF7B52"/>
    <w:rsid w:val="00DF7ECA"/>
    <w:rsid w:val="00E01F42"/>
    <w:rsid w:val="00E01FB9"/>
    <w:rsid w:val="00E108BC"/>
    <w:rsid w:val="00E11A0D"/>
    <w:rsid w:val="00E145FC"/>
    <w:rsid w:val="00E166ED"/>
    <w:rsid w:val="00E17CB4"/>
    <w:rsid w:val="00E17DD9"/>
    <w:rsid w:val="00E26E93"/>
    <w:rsid w:val="00E3458C"/>
    <w:rsid w:val="00E35866"/>
    <w:rsid w:val="00E37717"/>
    <w:rsid w:val="00E52F86"/>
    <w:rsid w:val="00E55FA1"/>
    <w:rsid w:val="00E61B3A"/>
    <w:rsid w:val="00E67085"/>
    <w:rsid w:val="00E71032"/>
    <w:rsid w:val="00E846DD"/>
    <w:rsid w:val="00E87C12"/>
    <w:rsid w:val="00E92623"/>
    <w:rsid w:val="00E96638"/>
    <w:rsid w:val="00EA05D8"/>
    <w:rsid w:val="00EA0DB1"/>
    <w:rsid w:val="00EA2FDD"/>
    <w:rsid w:val="00EA3AE4"/>
    <w:rsid w:val="00EB343E"/>
    <w:rsid w:val="00EB5E5B"/>
    <w:rsid w:val="00EC5892"/>
    <w:rsid w:val="00EC6A09"/>
    <w:rsid w:val="00ED1932"/>
    <w:rsid w:val="00EE2E31"/>
    <w:rsid w:val="00EE4D96"/>
    <w:rsid w:val="00EE6A04"/>
    <w:rsid w:val="00EF070A"/>
    <w:rsid w:val="00EF0FF2"/>
    <w:rsid w:val="00F01CEC"/>
    <w:rsid w:val="00F05585"/>
    <w:rsid w:val="00F07FC9"/>
    <w:rsid w:val="00F139E1"/>
    <w:rsid w:val="00F1499D"/>
    <w:rsid w:val="00F1543A"/>
    <w:rsid w:val="00F1601E"/>
    <w:rsid w:val="00F1719D"/>
    <w:rsid w:val="00F20312"/>
    <w:rsid w:val="00F21012"/>
    <w:rsid w:val="00F21D13"/>
    <w:rsid w:val="00F27C12"/>
    <w:rsid w:val="00F336A5"/>
    <w:rsid w:val="00F36743"/>
    <w:rsid w:val="00F40B43"/>
    <w:rsid w:val="00F4367A"/>
    <w:rsid w:val="00F4735F"/>
    <w:rsid w:val="00F4742F"/>
    <w:rsid w:val="00F52A3F"/>
    <w:rsid w:val="00F52D21"/>
    <w:rsid w:val="00F57729"/>
    <w:rsid w:val="00F57CCB"/>
    <w:rsid w:val="00F6212A"/>
    <w:rsid w:val="00F63185"/>
    <w:rsid w:val="00F64311"/>
    <w:rsid w:val="00F645D3"/>
    <w:rsid w:val="00F65852"/>
    <w:rsid w:val="00F724D6"/>
    <w:rsid w:val="00F727F2"/>
    <w:rsid w:val="00F734D8"/>
    <w:rsid w:val="00F7606D"/>
    <w:rsid w:val="00F771E0"/>
    <w:rsid w:val="00F778B2"/>
    <w:rsid w:val="00F835F0"/>
    <w:rsid w:val="00F83EE5"/>
    <w:rsid w:val="00F855DE"/>
    <w:rsid w:val="00F95354"/>
    <w:rsid w:val="00F95B40"/>
    <w:rsid w:val="00F968E3"/>
    <w:rsid w:val="00FA2E62"/>
    <w:rsid w:val="00FA624C"/>
    <w:rsid w:val="00FA7264"/>
    <w:rsid w:val="00FB70FE"/>
    <w:rsid w:val="00FC03A1"/>
    <w:rsid w:val="00FC3AB3"/>
    <w:rsid w:val="00FC69D4"/>
    <w:rsid w:val="00FC7F80"/>
    <w:rsid w:val="00FD1099"/>
    <w:rsid w:val="00FD25C2"/>
    <w:rsid w:val="00FD34CA"/>
    <w:rsid w:val="00FD7B09"/>
    <w:rsid w:val="00FE3DC7"/>
    <w:rsid w:val="00FE3E0E"/>
    <w:rsid w:val="00FE5E85"/>
    <w:rsid w:val="00FE7AC5"/>
    <w:rsid w:val="00FF064D"/>
    <w:rsid w:val="00FF0767"/>
    <w:rsid w:val="00FF64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F11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bCs/>
      <w:sz w:val="20"/>
      <w:szCs w:val="20"/>
    </w:rPr>
  </w:style>
  <w:style w:type="character" w:styleId="PageNumber">
    <w:name w:val="page number"/>
    <w:basedOn w:val="DefaultParagraphFont"/>
  </w:style>
  <w:style w:type="character" w:styleId="Hyperlink">
    <w:name w:val="Hyperlink"/>
    <w:rsid w:val="00713675"/>
    <w:rPr>
      <w:color w:val="0000FF"/>
      <w:u w:val="single"/>
    </w:rPr>
  </w:style>
  <w:style w:type="paragraph" w:styleId="ListParagraph">
    <w:name w:val="List Paragraph"/>
    <w:basedOn w:val="Normal"/>
    <w:uiPriority w:val="34"/>
    <w:qFormat/>
    <w:rsid w:val="00DA1441"/>
    <w:pPr>
      <w:ind w:left="720"/>
      <w:contextualSpacing/>
    </w:pPr>
  </w:style>
  <w:style w:type="character" w:customStyle="1" w:styleId="FooterChar">
    <w:name w:val="Footer Char"/>
    <w:basedOn w:val="DefaultParagraphFont"/>
    <w:link w:val="Footer"/>
    <w:uiPriority w:val="99"/>
    <w:rsid w:val="00036F46"/>
    <w:rPr>
      <w:rFonts w:ascii="Arial" w:hAnsi="Arial"/>
      <w:sz w:val="24"/>
      <w:szCs w:val="24"/>
      <w:lang w:eastAsia="en-US"/>
    </w:rPr>
  </w:style>
  <w:style w:type="table" w:styleId="TableGrid">
    <w:name w:val="Table Grid"/>
    <w:basedOn w:val="TableNormal"/>
    <w:rsid w:val="00A314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8875F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DD2E0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bCs/>
      <w:sz w:val="20"/>
      <w:szCs w:val="20"/>
    </w:rPr>
  </w:style>
  <w:style w:type="character" w:styleId="PageNumber">
    <w:name w:val="page number"/>
    <w:basedOn w:val="DefaultParagraphFont"/>
  </w:style>
  <w:style w:type="character" w:styleId="Hyperlink">
    <w:name w:val="Hyperlink"/>
    <w:rsid w:val="00713675"/>
    <w:rPr>
      <w:color w:val="0000FF"/>
      <w:u w:val="single"/>
    </w:rPr>
  </w:style>
  <w:style w:type="paragraph" w:styleId="ListParagraph">
    <w:name w:val="List Paragraph"/>
    <w:basedOn w:val="Normal"/>
    <w:uiPriority w:val="34"/>
    <w:qFormat/>
    <w:rsid w:val="00DA1441"/>
    <w:pPr>
      <w:ind w:left="720"/>
      <w:contextualSpacing/>
    </w:pPr>
  </w:style>
  <w:style w:type="character" w:customStyle="1" w:styleId="FooterChar">
    <w:name w:val="Footer Char"/>
    <w:basedOn w:val="DefaultParagraphFont"/>
    <w:link w:val="Footer"/>
    <w:uiPriority w:val="99"/>
    <w:rsid w:val="00036F46"/>
    <w:rPr>
      <w:rFonts w:ascii="Arial" w:hAnsi="Arial"/>
      <w:sz w:val="24"/>
      <w:szCs w:val="24"/>
      <w:lang w:eastAsia="en-US"/>
    </w:rPr>
  </w:style>
  <w:style w:type="table" w:styleId="TableGrid">
    <w:name w:val="Table Grid"/>
    <w:basedOn w:val="TableNormal"/>
    <w:rsid w:val="00A314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8875F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DD2E0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21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xfordinvestigationservice.co.uk" TargetMode="External"/><Relationship Id="rId5" Type="http://schemas.openxmlformats.org/officeDocument/2006/relationships/settings" Target="settings.xml"/><Relationship Id="rId10"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7FA7BF-6665-40EC-9A45-B2148E931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2548</Words>
  <Characters>14530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17044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swarner</cp:lastModifiedBy>
  <cp:revision>2</cp:revision>
  <cp:lastPrinted>2015-06-16T14:48:00Z</cp:lastPrinted>
  <dcterms:created xsi:type="dcterms:W3CDTF">2021-07-20T12:28:00Z</dcterms:created>
  <dcterms:modified xsi:type="dcterms:W3CDTF">2021-07-20T12:28:00Z</dcterms:modified>
</cp:coreProperties>
</file>